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F8" w:rsidRDefault="00B4293B" w:rsidP="00EF7D06">
      <w:pPr>
        <w:pStyle w:val="HTMLBody"/>
        <w:rPr>
          <w:rFonts w:ascii="Times New Roman" w:hAnsi="Times New Roman"/>
          <w:b/>
          <w:bCs/>
          <w:sz w:val="28"/>
        </w:rPr>
      </w:pPr>
      <w:r>
        <w:rPr>
          <w:noProof/>
          <w:lang w:val="en-GB" w:eastAsia="en-GB"/>
        </w:rPr>
        <mc:AlternateContent>
          <mc:Choice Requires="wps">
            <w:drawing>
              <wp:anchor distT="0" distB="0" distL="114300" distR="114300" simplePos="0" relativeHeight="251657216" behindDoc="0" locked="0" layoutInCell="1" allowOverlap="1" wp14:anchorId="4980E8DF" wp14:editId="71727F5C">
                <wp:simplePos x="0" y="0"/>
                <wp:positionH relativeFrom="column">
                  <wp:posOffset>3771900</wp:posOffset>
                </wp:positionH>
                <wp:positionV relativeFrom="paragraph">
                  <wp:posOffset>-342900</wp:posOffset>
                </wp:positionV>
                <wp:extent cx="2554605" cy="78867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788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68D" w:rsidRDefault="00B8668D">
                            <w:pPr>
                              <w:pStyle w:val="HTMLBody"/>
                              <w:jc w:val="center"/>
                              <w:rPr>
                                <w:b/>
                                <w:bCs/>
                                <w:sz w:val="28"/>
                                <w:lang w:val="en-GB"/>
                              </w:rPr>
                            </w:pPr>
                            <w:r>
                              <w:rPr>
                                <w:rFonts w:ascii="Times New Roman" w:hAnsi="Times New Roman"/>
                                <w:b/>
                                <w:noProof/>
                                <w:sz w:val="28"/>
                                <w:lang w:val="en-GB" w:eastAsia="en-GB"/>
                              </w:rPr>
                              <w:drawing>
                                <wp:inline distT="0" distB="0" distL="0" distR="0" wp14:anchorId="75A4622B" wp14:editId="3E56F366">
                                  <wp:extent cx="2370455" cy="6959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70455" cy="6959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0E8DF" id="_x0000_t202" coordsize="21600,21600" o:spt="202" path="m,l,21600r21600,l21600,xe">
                <v:stroke joinstyle="miter"/>
                <v:path gradientshapeok="t" o:connecttype="rect"/>
              </v:shapetype>
              <v:shape id="Text Box 2" o:spid="_x0000_s1026" type="#_x0000_t202" style="position:absolute;margin-left:297pt;margin-top:-27pt;width:201.15pt;height:6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DCgw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" stroked="f">
                <v:textbox>
                  <w:txbxContent>
                    <w:p w:rsidR="00B8668D" w:rsidRDefault="00B8668D">
                      <w:pPr>
                        <w:pStyle w:val="HTMLBody"/>
                        <w:jc w:val="center"/>
                        <w:rPr>
                          <w:b/>
                          <w:bCs/>
                          <w:sz w:val="28"/>
                          <w:lang w:val="en-GB"/>
                        </w:rPr>
                      </w:pPr>
                      <w:r>
                        <w:rPr>
                          <w:rFonts w:ascii="Times New Roman" w:hAnsi="Times New Roman"/>
                          <w:b/>
                          <w:noProof/>
                          <w:sz w:val="28"/>
                          <w:lang w:val="en-GB" w:eastAsia="en-GB"/>
                        </w:rPr>
                        <w:drawing>
                          <wp:inline distT="0" distB="0" distL="0" distR="0" wp14:anchorId="75A4622B" wp14:editId="3E56F366">
                            <wp:extent cx="2370455" cy="6959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70455" cy="695960"/>
                                    </a:xfrm>
                                    <a:prstGeom prst="rect">
                                      <a:avLst/>
                                    </a:prstGeom>
                                    <a:noFill/>
                                    <a:ln w="9525">
                                      <a:noFill/>
                                      <a:miter lim="800000"/>
                                      <a:headEnd/>
                                      <a:tailEnd/>
                                    </a:ln>
                                  </pic:spPr>
                                </pic:pic>
                              </a:graphicData>
                            </a:graphic>
                          </wp:inline>
                        </w:drawing>
                      </w:r>
                    </w:p>
                  </w:txbxContent>
                </v:textbox>
                <w10:wrap type="square"/>
              </v:shape>
            </w:pict>
          </mc:Fallback>
        </mc:AlternateContent>
      </w:r>
    </w:p>
    <w:p w:rsidR="00561FF8" w:rsidRDefault="00561FF8">
      <w:pPr>
        <w:pStyle w:val="HTMLBody"/>
        <w:jc w:val="center"/>
        <w:rPr>
          <w:rFonts w:ascii="Times New Roman" w:hAnsi="Times New Roman"/>
          <w:b/>
          <w:bCs/>
          <w:sz w:val="28"/>
        </w:rPr>
      </w:pPr>
    </w:p>
    <w:p w:rsidR="00561FF8" w:rsidRDefault="00C6243F">
      <w:pPr>
        <w:pStyle w:val="HTMLBody"/>
        <w:jc w:val="center"/>
        <w:rPr>
          <w:rFonts w:ascii="Times New Roman" w:hAnsi="Times New Roman"/>
          <w:b/>
          <w:bCs/>
          <w:sz w:val="28"/>
        </w:rPr>
      </w:pPr>
      <w:r>
        <w:rPr>
          <w:rFonts w:ascii="Times New Roman" w:hAnsi="Times New Roman"/>
          <w:b/>
          <w:bCs/>
          <w:noProof/>
          <w:sz w:val="28"/>
          <w:lang w:val="en-GB" w:eastAsia="en-GB"/>
        </w:rPr>
        <mc:AlternateContent>
          <mc:Choice Requires="wps">
            <w:drawing>
              <wp:anchor distT="0" distB="0" distL="114300" distR="114300" simplePos="0" relativeHeight="251658240" behindDoc="0" locked="0" layoutInCell="1" allowOverlap="1" wp14:anchorId="29D9F49D" wp14:editId="2989FECF">
                <wp:simplePos x="0" y="0"/>
                <wp:positionH relativeFrom="margin">
                  <wp:align>left</wp:align>
                </wp:positionH>
                <wp:positionV relativeFrom="paragraph">
                  <wp:posOffset>14605</wp:posOffset>
                </wp:positionV>
                <wp:extent cx="2524125" cy="381000"/>
                <wp:effectExtent l="0" t="0" r="952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68D" w:rsidRPr="00C6243F" w:rsidRDefault="00B8668D">
                            <w:pPr>
                              <w:rPr>
                                <w:rFonts w:ascii="Calibri" w:hAnsi="Calibri"/>
                                <w:sz w:val="32"/>
                                <w:szCs w:val="32"/>
                              </w:rPr>
                            </w:pPr>
                            <w:r w:rsidRPr="00C6243F">
                              <w:rPr>
                                <w:rFonts w:ascii="Calibri" w:hAnsi="Calibri"/>
                                <w:sz w:val="32"/>
                                <w:szCs w:val="32"/>
                              </w:rPr>
                              <w:t>FACULTY OF ENVIRONMENT</w:t>
                            </w:r>
                          </w:p>
                          <w:p w:rsidR="00675642" w:rsidRDefault="006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F49D" id="Text Box 5" o:spid="_x0000_s1027" type="#_x0000_t202" style="position:absolute;left:0;text-align:left;margin-left:0;margin-top:1.15pt;width:198.75pt;height:3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" stroked="f">
                <v:textbox>
                  <w:txbxContent>
                    <w:p w:rsidR="00B8668D" w:rsidRPr="00C6243F" w:rsidRDefault="00B8668D">
                      <w:pPr>
                        <w:rPr>
                          <w:rFonts w:ascii="Calibri" w:hAnsi="Calibri"/>
                          <w:sz w:val="32"/>
                          <w:szCs w:val="32"/>
                        </w:rPr>
                      </w:pPr>
                      <w:r w:rsidRPr="00C6243F">
                        <w:rPr>
                          <w:rFonts w:ascii="Calibri" w:hAnsi="Calibri"/>
                          <w:sz w:val="32"/>
                          <w:szCs w:val="32"/>
                        </w:rPr>
                        <w:t>FACULTY OF ENVIRONMENT</w:t>
                      </w:r>
                    </w:p>
                    <w:p w:rsidR="00675642" w:rsidRDefault="00675642"/>
                  </w:txbxContent>
                </v:textbox>
                <w10:wrap anchorx="margin"/>
              </v:shape>
            </w:pict>
          </mc:Fallback>
        </mc:AlternateContent>
      </w:r>
    </w:p>
    <w:p w:rsidR="00C57538" w:rsidRDefault="00EF7926">
      <w:pPr>
        <w:pStyle w:val="HTMLBody"/>
        <w:jc w:val="center"/>
        <w:rPr>
          <w:rFonts w:cs="Arial"/>
          <w:b/>
          <w:bCs/>
          <w:sz w:val="28"/>
          <w:szCs w:val="28"/>
        </w:rPr>
      </w:pPr>
      <w:r>
        <w:rPr>
          <w:rFonts w:cs="Arial"/>
          <w:b/>
          <w:bCs/>
          <w:sz w:val="28"/>
          <w:szCs w:val="28"/>
        </w:rPr>
        <w:t xml:space="preserve"> </w:t>
      </w:r>
    </w:p>
    <w:p w:rsidR="009F5B7A" w:rsidRDefault="009F5B7A" w:rsidP="00C6243F">
      <w:pPr>
        <w:jc w:val="center"/>
        <w:rPr>
          <w:rFonts w:ascii="Arial" w:hAnsi="Arial" w:cs="Arial"/>
          <w:b/>
          <w:sz w:val="36"/>
          <w:szCs w:val="36"/>
        </w:rPr>
      </w:pPr>
    </w:p>
    <w:p w:rsidR="00C6243F" w:rsidRPr="00C6243F" w:rsidRDefault="00C6243F" w:rsidP="00C6243F">
      <w:pPr>
        <w:jc w:val="center"/>
        <w:rPr>
          <w:rFonts w:ascii="Arial" w:hAnsi="Arial" w:cs="Arial"/>
          <w:b/>
          <w:sz w:val="36"/>
          <w:szCs w:val="36"/>
        </w:rPr>
      </w:pPr>
      <w:r w:rsidRPr="00C6243F">
        <w:rPr>
          <w:rFonts w:ascii="Arial" w:hAnsi="Arial" w:cs="Arial"/>
          <w:b/>
          <w:sz w:val="36"/>
          <w:szCs w:val="36"/>
        </w:rPr>
        <w:t>PGR Recruitment and Admissions Strategy</w:t>
      </w:r>
    </w:p>
    <w:p w:rsidR="00C6243F" w:rsidRPr="004C1685" w:rsidRDefault="00C6243F" w:rsidP="00C6243F">
      <w:pPr>
        <w:rPr>
          <w:rFonts w:ascii="Arial" w:hAnsi="Arial" w:cs="Arial"/>
        </w:rPr>
      </w:pPr>
    </w:p>
    <w:p w:rsidR="00C6243F" w:rsidRDefault="00C6243F" w:rsidP="00C6243F">
      <w:pPr>
        <w:jc w:val="both"/>
        <w:rPr>
          <w:rFonts w:ascii="Arial" w:hAnsi="Arial" w:cs="Arial"/>
        </w:rPr>
      </w:pPr>
      <w:r w:rsidRPr="003F3D54">
        <w:rPr>
          <w:rFonts w:ascii="Arial" w:hAnsi="Arial" w:cs="Arial"/>
        </w:rPr>
        <w:t>Faculty of Environment has around 280 PGR</w:t>
      </w:r>
      <w:r>
        <w:rPr>
          <w:rFonts w:ascii="Arial" w:hAnsi="Arial" w:cs="Arial"/>
        </w:rPr>
        <w:t>s</w:t>
      </w:r>
      <w:r w:rsidR="00CA78EB">
        <w:rPr>
          <w:rFonts w:ascii="Arial" w:hAnsi="Arial" w:cs="Arial"/>
        </w:rPr>
        <w:t xml:space="preserve"> (in their standard period of study, </w:t>
      </w:r>
      <w:r w:rsidR="00EF09B7">
        <w:rPr>
          <w:rFonts w:ascii="Arial" w:hAnsi="Arial" w:cs="Arial"/>
        </w:rPr>
        <w:t>i.e.</w:t>
      </w:r>
      <w:r w:rsidR="00CA78EB">
        <w:rPr>
          <w:rFonts w:ascii="Arial" w:hAnsi="Arial" w:cs="Arial"/>
        </w:rPr>
        <w:t>, not overtime)</w:t>
      </w:r>
      <w:r w:rsidRPr="003F3D54">
        <w:rPr>
          <w:rFonts w:ascii="Arial" w:hAnsi="Arial" w:cs="Arial"/>
        </w:rPr>
        <w:t xml:space="preserve"> and it aims to grow the number </w:t>
      </w:r>
      <w:r>
        <w:rPr>
          <w:rFonts w:ascii="Arial" w:hAnsi="Arial" w:cs="Arial"/>
        </w:rPr>
        <w:t xml:space="preserve">to </w:t>
      </w:r>
      <w:r w:rsidRPr="003F3D54">
        <w:rPr>
          <w:rFonts w:ascii="Arial" w:hAnsi="Arial" w:cs="Arial"/>
        </w:rPr>
        <w:t>about 400 or by 40% by 2020</w:t>
      </w:r>
      <w:r>
        <w:rPr>
          <w:rFonts w:ascii="Arial" w:hAnsi="Arial" w:cs="Arial"/>
        </w:rPr>
        <w:t>, see Table 1 below</w:t>
      </w:r>
      <w:r w:rsidR="00BD741B">
        <w:rPr>
          <w:rFonts w:ascii="Arial" w:hAnsi="Arial" w:cs="Arial"/>
        </w:rPr>
        <w:t xml:space="preserve"> </w:t>
      </w:r>
      <w:r w:rsidR="0060642A">
        <w:rPr>
          <w:rFonts w:ascii="Arial" w:hAnsi="Arial" w:cs="Arial"/>
          <w:i/>
        </w:rPr>
        <w:t>(</w:t>
      </w:r>
      <w:r w:rsidR="00BD741B" w:rsidRPr="0060642A">
        <w:rPr>
          <w:rFonts w:ascii="Arial" w:hAnsi="Arial" w:cs="Arial"/>
          <w:i/>
        </w:rPr>
        <w:t xml:space="preserve">note figures below are </w:t>
      </w:r>
      <w:r w:rsidR="0060642A" w:rsidRPr="0060642A">
        <w:rPr>
          <w:rFonts w:ascii="Arial" w:hAnsi="Arial" w:cs="Arial"/>
          <w:i/>
        </w:rPr>
        <w:t>currently under review</w:t>
      </w:r>
      <w:r w:rsidR="00BD741B" w:rsidRPr="0060642A">
        <w:rPr>
          <w:rFonts w:ascii="Arial" w:hAnsi="Arial" w:cs="Arial"/>
          <w:i/>
        </w:rPr>
        <w:t xml:space="preserve"> </w:t>
      </w:r>
      <w:r w:rsidR="00EF09B7" w:rsidRPr="0060642A">
        <w:rPr>
          <w:rFonts w:ascii="Arial" w:hAnsi="Arial" w:cs="Arial"/>
          <w:i/>
        </w:rPr>
        <w:t xml:space="preserve">for </w:t>
      </w:r>
      <w:r w:rsidR="0060642A" w:rsidRPr="0060642A">
        <w:rPr>
          <w:rFonts w:ascii="Arial" w:hAnsi="Arial" w:cs="Arial"/>
          <w:i/>
        </w:rPr>
        <w:t xml:space="preserve">2017 </w:t>
      </w:r>
      <w:r w:rsidR="00EF09B7" w:rsidRPr="0060642A">
        <w:rPr>
          <w:rFonts w:ascii="Arial" w:hAnsi="Arial" w:cs="Arial"/>
          <w:i/>
        </w:rPr>
        <w:t>IPE</w:t>
      </w:r>
      <w:r w:rsidR="0060642A">
        <w:rPr>
          <w:rFonts w:ascii="Arial" w:hAnsi="Arial" w:cs="Arial"/>
          <w:i/>
        </w:rPr>
        <w:t>)</w:t>
      </w:r>
      <w:r w:rsidRPr="003F3D54">
        <w:rPr>
          <w:rFonts w:ascii="Arial" w:hAnsi="Arial" w:cs="Arial"/>
        </w:rPr>
        <w:t xml:space="preserve">. </w:t>
      </w:r>
      <w:r>
        <w:rPr>
          <w:rFonts w:ascii="Arial" w:hAnsi="Arial" w:cs="Arial"/>
        </w:rPr>
        <w:t xml:space="preserve">A good proportion of </w:t>
      </w:r>
      <w:r w:rsidRPr="003F3D54">
        <w:rPr>
          <w:rFonts w:ascii="Arial" w:hAnsi="Arial" w:cs="Arial"/>
        </w:rPr>
        <w:t>the current PGR</w:t>
      </w:r>
      <w:r w:rsidR="00CA78EB">
        <w:rPr>
          <w:rFonts w:ascii="Arial" w:hAnsi="Arial" w:cs="Arial"/>
        </w:rPr>
        <w:t>s</w:t>
      </w:r>
      <w:r w:rsidRPr="003F3D54">
        <w:rPr>
          <w:rFonts w:ascii="Arial" w:hAnsi="Arial" w:cs="Arial"/>
        </w:rPr>
        <w:t xml:space="preserve"> are international</w:t>
      </w:r>
      <w:r w:rsidR="00EF09B7">
        <w:rPr>
          <w:rFonts w:ascii="Arial" w:hAnsi="Arial" w:cs="Arial"/>
        </w:rPr>
        <w:t>, and the expectation is that a substantial proportion of the 120 additional PGR will also be international</w:t>
      </w:r>
      <w:r w:rsidR="0060642A">
        <w:rPr>
          <w:rFonts w:ascii="Arial" w:hAnsi="Arial" w:cs="Arial"/>
        </w:rPr>
        <w:t xml:space="preserve">.  </w:t>
      </w:r>
      <w:r w:rsidR="00CA78EB" w:rsidRPr="00EF09B7">
        <w:rPr>
          <w:rFonts w:ascii="Arial" w:hAnsi="Arial" w:cs="Arial"/>
        </w:rPr>
        <w:t xml:space="preserve">The </w:t>
      </w:r>
      <w:r w:rsidR="00B62B61" w:rsidRPr="00EF09B7">
        <w:rPr>
          <w:rFonts w:ascii="Arial" w:hAnsi="Arial" w:cs="Arial"/>
        </w:rPr>
        <w:t>Faculty currently has a PGR</w:t>
      </w:r>
      <w:r w:rsidR="005D5A29">
        <w:rPr>
          <w:rFonts w:ascii="Arial" w:hAnsi="Arial" w:cs="Arial"/>
        </w:rPr>
        <w:t xml:space="preserve"> supervision guideline in</w:t>
      </w:r>
      <w:r w:rsidR="00CA78EB" w:rsidRPr="00EF09B7">
        <w:rPr>
          <w:rFonts w:ascii="Arial" w:hAnsi="Arial" w:cs="Arial"/>
        </w:rPr>
        <w:t xml:space="preserve"> place</w:t>
      </w:r>
      <w:r w:rsidR="005D5A29">
        <w:rPr>
          <w:rFonts w:ascii="Arial" w:hAnsi="Arial" w:cs="Arial"/>
        </w:rPr>
        <w:t xml:space="preserve"> </w:t>
      </w:r>
      <w:hyperlink r:id="rId9" w:history="1">
        <w:r w:rsidR="005D5A29" w:rsidRPr="005D5A29">
          <w:rPr>
            <w:rStyle w:val="Hyperlink"/>
            <w:rFonts w:ascii="Arial" w:hAnsi="Arial" w:cs="Arial"/>
            <w:sz w:val="20"/>
            <w:szCs w:val="20"/>
          </w:rPr>
          <w:t>http://www.see.leeds.ac.uk/fileadmin/Documents/PGR/Guidelines_for_supervisors_re_PGR_supervision_numbers.pdf</w:t>
        </w:r>
      </w:hyperlink>
      <w:r w:rsidR="005D5A29" w:rsidRPr="005D5A29">
        <w:rPr>
          <w:rFonts w:ascii="Arial" w:hAnsi="Arial" w:cs="Arial"/>
          <w:sz w:val="20"/>
          <w:szCs w:val="20"/>
        </w:rPr>
        <w:t>)</w:t>
      </w:r>
      <w:bookmarkStart w:id="0" w:name="_GoBack"/>
      <w:bookmarkEnd w:id="0"/>
      <w:r w:rsidR="005D5A29">
        <w:rPr>
          <w:rFonts w:ascii="Arial" w:hAnsi="Arial" w:cs="Arial"/>
        </w:rPr>
        <w:t xml:space="preserve"> </w:t>
      </w:r>
    </w:p>
    <w:p w:rsidR="00EF09B7" w:rsidRPr="00EF09B7" w:rsidRDefault="00EF09B7" w:rsidP="00C6243F">
      <w:pPr>
        <w:jc w:val="both"/>
        <w:rPr>
          <w:rFonts w:ascii="Arial" w:hAnsi="Arial" w:cs="Arial"/>
        </w:rPr>
      </w:pPr>
    </w:p>
    <w:p w:rsidR="00EF09B7" w:rsidRPr="005841A1" w:rsidRDefault="00EF09B7" w:rsidP="00EF09B7">
      <w:pPr>
        <w:jc w:val="both"/>
        <w:rPr>
          <w:rFonts w:ascii="Arial" w:hAnsi="Arial" w:cs="Arial"/>
          <w:i/>
        </w:rPr>
      </w:pPr>
      <w:r w:rsidRPr="005841A1">
        <w:rPr>
          <w:rFonts w:ascii="Arial" w:hAnsi="Arial" w:cs="Arial"/>
          <w:i/>
        </w:rPr>
        <w:t xml:space="preserve">Table 1. Faculty of Environment PGR </w:t>
      </w:r>
      <w:r w:rsidR="0060642A">
        <w:rPr>
          <w:rFonts w:ascii="Arial" w:hAnsi="Arial" w:cs="Arial"/>
          <w:i/>
        </w:rPr>
        <w:t>cohort</w:t>
      </w:r>
      <w:r w:rsidR="008C0D93">
        <w:rPr>
          <w:rFonts w:ascii="Arial" w:hAnsi="Arial" w:cs="Arial"/>
          <w:i/>
        </w:rPr>
        <w:t xml:space="preserve"> targets by 2020 by s</w:t>
      </w:r>
      <w:r w:rsidRPr="005841A1">
        <w:rPr>
          <w:rFonts w:ascii="Arial" w:hAnsi="Arial" w:cs="Arial"/>
          <w:i/>
        </w:rPr>
        <w:t>chool.</w:t>
      </w:r>
    </w:p>
    <w:tbl>
      <w:tblPr>
        <w:tblStyle w:val="TableGrid"/>
        <w:tblW w:w="7938" w:type="dxa"/>
        <w:tblLook w:val="04A0" w:firstRow="1" w:lastRow="0" w:firstColumn="1" w:lastColumn="0" w:noHBand="0" w:noVBand="1"/>
      </w:tblPr>
      <w:tblGrid>
        <w:gridCol w:w="1606"/>
        <w:gridCol w:w="1551"/>
        <w:gridCol w:w="1551"/>
        <w:gridCol w:w="1551"/>
        <w:gridCol w:w="1679"/>
      </w:tblGrid>
      <w:tr w:rsidR="00C6243F" w:rsidRPr="00B41893" w:rsidTr="00EF09B7">
        <w:trPr>
          <w:trHeight w:val="204"/>
        </w:trPr>
        <w:tc>
          <w:tcPr>
            <w:tcW w:w="1606" w:type="dxa"/>
          </w:tcPr>
          <w:p w:rsidR="00C6243F" w:rsidRPr="00B41893" w:rsidRDefault="00C6243F" w:rsidP="00280514">
            <w:pPr>
              <w:jc w:val="right"/>
              <w:rPr>
                <w:rFonts w:ascii="Arial" w:hAnsi="Arial" w:cs="Arial"/>
                <w:b/>
                <w:sz w:val="22"/>
                <w:szCs w:val="22"/>
              </w:rPr>
            </w:pPr>
          </w:p>
        </w:tc>
        <w:tc>
          <w:tcPr>
            <w:tcW w:w="1551" w:type="dxa"/>
          </w:tcPr>
          <w:p w:rsidR="00C6243F" w:rsidRPr="00B41893" w:rsidRDefault="00C6243F" w:rsidP="00280514">
            <w:pPr>
              <w:jc w:val="right"/>
              <w:rPr>
                <w:rFonts w:ascii="Arial" w:hAnsi="Arial" w:cs="Arial"/>
                <w:b/>
                <w:sz w:val="22"/>
                <w:szCs w:val="22"/>
              </w:rPr>
            </w:pPr>
            <w:r w:rsidRPr="00B41893">
              <w:rPr>
                <w:rFonts w:ascii="Arial" w:hAnsi="Arial" w:cs="Arial"/>
                <w:b/>
                <w:sz w:val="22"/>
                <w:szCs w:val="22"/>
              </w:rPr>
              <w:t>SEE</w:t>
            </w:r>
          </w:p>
        </w:tc>
        <w:tc>
          <w:tcPr>
            <w:tcW w:w="1551" w:type="dxa"/>
          </w:tcPr>
          <w:p w:rsidR="00C6243F" w:rsidRPr="00B41893" w:rsidRDefault="00C6243F" w:rsidP="00280514">
            <w:pPr>
              <w:jc w:val="right"/>
              <w:rPr>
                <w:rFonts w:ascii="Arial" w:hAnsi="Arial" w:cs="Arial"/>
                <w:b/>
                <w:sz w:val="22"/>
                <w:szCs w:val="22"/>
              </w:rPr>
            </w:pPr>
            <w:r w:rsidRPr="00B41893">
              <w:rPr>
                <w:rFonts w:ascii="Arial" w:hAnsi="Arial" w:cs="Arial"/>
                <w:b/>
                <w:sz w:val="22"/>
                <w:szCs w:val="22"/>
              </w:rPr>
              <w:t>SOG</w:t>
            </w:r>
          </w:p>
        </w:tc>
        <w:tc>
          <w:tcPr>
            <w:tcW w:w="1551" w:type="dxa"/>
          </w:tcPr>
          <w:p w:rsidR="00C6243F" w:rsidRPr="00B41893" w:rsidRDefault="00C6243F" w:rsidP="00280514">
            <w:pPr>
              <w:jc w:val="right"/>
              <w:rPr>
                <w:rFonts w:ascii="Arial" w:hAnsi="Arial" w:cs="Arial"/>
                <w:b/>
                <w:sz w:val="22"/>
                <w:szCs w:val="22"/>
              </w:rPr>
            </w:pPr>
            <w:r w:rsidRPr="00B41893">
              <w:rPr>
                <w:rFonts w:ascii="Arial" w:hAnsi="Arial" w:cs="Arial"/>
                <w:b/>
                <w:sz w:val="22"/>
                <w:szCs w:val="22"/>
              </w:rPr>
              <w:t>ITS</w:t>
            </w:r>
          </w:p>
        </w:tc>
        <w:tc>
          <w:tcPr>
            <w:tcW w:w="1679" w:type="dxa"/>
          </w:tcPr>
          <w:p w:rsidR="00C6243F" w:rsidRPr="00B41893" w:rsidRDefault="00C6243F" w:rsidP="00280514">
            <w:pPr>
              <w:jc w:val="right"/>
              <w:rPr>
                <w:rFonts w:ascii="Arial" w:hAnsi="Arial" w:cs="Arial"/>
                <w:b/>
                <w:sz w:val="22"/>
                <w:szCs w:val="22"/>
              </w:rPr>
            </w:pPr>
            <w:r w:rsidRPr="00B41893">
              <w:rPr>
                <w:rFonts w:ascii="Arial" w:hAnsi="Arial" w:cs="Arial"/>
                <w:b/>
                <w:sz w:val="22"/>
                <w:szCs w:val="22"/>
              </w:rPr>
              <w:t>FACULTY</w:t>
            </w:r>
          </w:p>
        </w:tc>
      </w:tr>
      <w:tr w:rsidR="00C6243F" w:rsidRPr="00B41893" w:rsidTr="00EF09B7">
        <w:trPr>
          <w:trHeight w:val="203"/>
        </w:trPr>
        <w:tc>
          <w:tcPr>
            <w:tcW w:w="1606" w:type="dxa"/>
          </w:tcPr>
          <w:p w:rsidR="00C6243F" w:rsidRPr="00B41893" w:rsidRDefault="00C6243F" w:rsidP="00280514">
            <w:pPr>
              <w:rPr>
                <w:rFonts w:ascii="Arial" w:hAnsi="Arial" w:cs="Arial"/>
                <w:sz w:val="22"/>
                <w:szCs w:val="22"/>
              </w:rPr>
            </w:pPr>
            <w:r w:rsidRPr="00B41893">
              <w:rPr>
                <w:rFonts w:ascii="Arial" w:hAnsi="Arial" w:cs="Arial"/>
                <w:sz w:val="22"/>
                <w:szCs w:val="22"/>
              </w:rPr>
              <w:t>-2015</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170</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69</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46</w:t>
            </w:r>
          </w:p>
        </w:tc>
        <w:tc>
          <w:tcPr>
            <w:tcW w:w="1679"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285</w:t>
            </w:r>
          </w:p>
        </w:tc>
      </w:tr>
      <w:tr w:rsidR="00C6243F" w:rsidRPr="00B41893" w:rsidTr="00EF09B7">
        <w:trPr>
          <w:trHeight w:val="203"/>
        </w:trPr>
        <w:tc>
          <w:tcPr>
            <w:tcW w:w="1606" w:type="dxa"/>
          </w:tcPr>
          <w:p w:rsidR="00C6243F" w:rsidRPr="00B41893" w:rsidRDefault="00C6243F" w:rsidP="00280514">
            <w:pPr>
              <w:rPr>
                <w:rFonts w:ascii="Arial" w:hAnsi="Arial" w:cs="Arial"/>
                <w:sz w:val="22"/>
                <w:szCs w:val="22"/>
              </w:rPr>
            </w:pPr>
            <w:r w:rsidRPr="00B41893">
              <w:rPr>
                <w:rFonts w:ascii="Arial" w:hAnsi="Arial" w:cs="Arial"/>
                <w:sz w:val="22"/>
                <w:szCs w:val="22"/>
              </w:rPr>
              <w:t>-2016</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179</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74</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60</w:t>
            </w:r>
          </w:p>
        </w:tc>
        <w:tc>
          <w:tcPr>
            <w:tcW w:w="1679"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313</w:t>
            </w:r>
          </w:p>
        </w:tc>
      </w:tr>
      <w:tr w:rsidR="00C6243F" w:rsidRPr="00B41893" w:rsidTr="00EF09B7">
        <w:trPr>
          <w:trHeight w:val="203"/>
        </w:trPr>
        <w:tc>
          <w:tcPr>
            <w:tcW w:w="1606" w:type="dxa"/>
          </w:tcPr>
          <w:p w:rsidR="00C6243F" w:rsidRPr="00B41893" w:rsidRDefault="00C6243F" w:rsidP="00280514">
            <w:pPr>
              <w:rPr>
                <w:rFonts w:ascii="Arial" w:hAnsi="Arial" w:cs="Arial"/>
                <w:sz w:val="22"/>
                <w:szCs w:val="22"/>
              </w:rPr>
            </w:pPr>
            <w:r w:rsidRPr="00B41893">
              <w:rPr>
                <w:rFonts w:ascii="Arial" w:hAnsi="Arial" w:cs="Arial"/>
                <w:sz w:val="22"/>
                <w:szCs w:val="22"/>
              </w:rPr>
              <w:t>-2017</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180</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71</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65</w:t>
            </w:r>
          </w:p>
        </w:tc>
        <w:tc>
          <w:tcPr>
            <w:tcW w:w="1679"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316</w:t>
            </w:r>
          </w:p>
        </w:tc>
      </w:tr>
      <w:tr w:rsidR="00C6243F" w:rsidRPr="00B41893" w:rsidTr="00EF09B7">
        <w:trPr>
          <w:trHeight w:val="203"/>
        </w:trPr>
        <w:tc>
          <w:tcPr>
            <w:tcW w:w="1606" w:type="dxa"/>
          </w:tcPr>
          <w:p w:rsidR="00C6243F" w:rsidRPr="00B41893" w:rsidRDefault="00C6243F" w:rsidP="00280514">
            <w:pPr>
              <w:rPr>
                <w:rFonts w:ascii="Arial" w:hAnsi="Arial" w:cs="Arial"/>
                <w:sz w:val="22"/>
                <w:szCs w:val="22"/>
              </w:rPr>
            </w:pPr>
            <w:r w:rsidRPr="00B41893">
              <w:rPr>
                <w:rFonts w:ascii="Arial" w:hAnsi="Arial" w:cs="Arial"/>
                <w:sz w:val="22"/>
                <w:szCs w:val="22"/>
              </w:rPr>
              <w:t>-2018</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188</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80</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77</w:t>
            </w:r>
          </w:p>
        </w:tc>
        <w:tc>
          <w:tcPr>
            <w:tcW w:w="1679"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345</w:t>
            </w:r>
          </w:p>
        </w:tc>
      </w:tr>
      <w:tr w:rsidR="00C6243F" w:rsidRPr="00B41893" w:rsidTr="00EF09B7">
        <w:trPr>
          <w:trHeight w:val="203"/>
        </w:trPr>
        <w:tc>
          <w:tcPr>
            <w:tcW w:w="1606" w:type="dxa"/>
          </w:tcPr>
          <w:p w:rsidR="00C6243F" w:rsidRPr="00B41893" w:rsidRDefault="00C6243F" w:rsidP="00280514">
            <w:pPr>
              <w:rPr>
                <w:rFonts w:ascii="Arial" w:hAnsi="Arial" w:cs="Arial"/>
                <w:sz w:val="22"/>
                <w:szCs w:val="22"/>
              </w:rPr>
            </w:pPr>
            <w:r w:rsidRPr="00B41893">
              <w:rPr>
                <w:rFonts w:ascii="Arial" w:hAnsi="Arial" w:cs="Arial"/>
                <w:sz w:val="22"/>
                <w:szCs w:val="22"/>
              </w:rPr>
              <w:t>-2019</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198</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92</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86</w:t>
            </w:r>
          </w:p>
        </w:tc>
        <w:tc>
          <w:tcPr>
            <w:tcW w:w="1679"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376</w:t>
            </w:r>
          </w:p>
        </w:tc>
      </w:tr>
      <w:tr w:rsidR="00C6243F" w:rsidRPr="00B41893" w:rsidTr="00EF09B7">
        <w:trPr>
          <w:trHeight w:val="203"/>
        </w:trPr>
        <w:tc>
          <w:tcPr>
            <w:tcW w:w="1606" w:type="dxa"/>
          </w:tcPr>
          <w:p w:rsidR="00C6243F" w:rsidRPr="00B41893" w:rsidRDefault="00C6243F" w:rsidP="00280514">
            <w:pPr>
              <w:rPr>
                <w:rFonts w:ascii="Arial" w:hAnsi="Arial" w:cs="Arial"/>
                <w:sz w:val="22"/>
                <w:szCs w:val="22"/>
              </w:rPr>
            </w:pPr>
            <w:r w:rsidRPr="00B41893">
              <w:rPr>
                <w:rFonts w:ascii="Arial" w:hAnsi="Arial" w:cs="Arial"/>
                <w:sz w:val="22"/>
                <w:szCs w:val="22"/>
              </w:rPr>
              <w:t>-2020</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212</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105</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89</w:t>
            </w:r>
          </w:p>
        </w:tc>
        <w:tc>
          <w:tcPr>
            <w:tcW w:w="1679"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406</w:t>
            </w:r>
          </w:p>
        </w:tc>
      </w:tr>
      <w:tr w:rsidR="00C6243F" w:rsidRPr="00B41893" w:rsidTr="00EF09B7">
        <w:trPr>
          <w:trHeight w:val="203"/>
        </w:trPr>
        <w:tc>
          <w:tcPr>
            <w:tcW w:w="1606" w:type="dxa"/>
          </w:tcPr>
          <w:p w:rsidR="00C6243F" w:rsidRPr="00B41893" w:rsidRDefault="00C6243F" w:rsidP="00280514">
            <w:pPr>
              <w:rPr>
                <w:rFonts w:ascii="Arial" w:hAnsi="Arial" w:cs="Arial"/>
                <w:sz w:val="22"/>
                <w:szCs w:val="22"/>
              </w:rPr>
            </w:pPr>
            <w:r w:rsidRPr="00B41893">
              <w:rPr>
                <w:rFonts w:ascii="Arial" w:hAnsi="Arial" w:cs="Arial"/>
                <w:sz w:val="22"/>
                <w:szCs w:val="22"/>
              </w:rPr>
              <w:t>Change 15/20</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+25%</w:t>
            </w:r>
          </w:p>
        </w:tc>
        <w:tc>
          <w:tcPr>
            <w:tcW w:w="1551"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+52%</w:t>
            </w:r>
          </w:p>
        </w:tc>
        <w:tc>
          <w:tcPr>
            <w:tcW w:w="1551" w:type="dxa"/>
          </w:tcPr>
          <w:p w:rsidR="00C6243F" w:rsidRPr="00B41893" w:rsidRDefault="00C6243F" w:rsidP="00280514">
            <w:pPr>
              <w:jc w:val="right"/>
              <w:rPr>
                <w:rFonts w:ascii="Arial" w:hAnsi="Arial" w:cs="Arial"/>
                <w:sz w:val="22"/>
                <w:szCs w:val="22"/>
              </w:rPr>
            </w:pPr>
            <w:r>
              <w:rPr>
                <w:rFonts w:ascii="Arial" w:hAnsi="Arial" w:cs="Arial"/>
                <w:sz w:val="22"/>
                <w:szCs w:val="22"/>
              </w:rPr>
              <w:t>+93</w:t>
            </w:r>
            <w:r w:rsidRPr="00B41893">
              <w:rPr>
                <w:rFonts w:ascii="Arial" w:hAnsi="Arial" w:cs="Arial"/>
                <w:sz w:val="22"/>
                <w:szCs w:val="22"/>
              </w:rPr>
              <w:t>%</w:t>
            </w:r>
          </w:p>
        </w:tc>
        <w:tc>
          <w:tcPr>
            <w:tcW w:w="1679" w:type="dxa"/>
          </w:tcPr>
          <w:p w:rsidR="00C6243F" w:rsidRPr="00B41893" w:rsidRDefault="00C6243F" w:rsidP="00280514">
            <w:pPr>
              <w:jc w:val="right"/>
              <w:rPr>
                <w:rFonts w:ascii="Arial" w:hAnsi="Arial" w:cs="Arial"/>
                <w:sz w:val="22"/>
                <w:szCs w:val="22"/>
              </w:rPr>
            </w:pPr>
            <w:r w:rsidRPr="00B41893">
              <w:rPr>
                <w:rFonts w:ascii="Arial" w:hAnsi="Arial" w:cs="Arial"/>
                <w:sz w:val="22"/>
                <w:szCs w:val="22"/>
              </w:rPr>
              <w:t>+42%</w:t>
            </w:r>
          </w:p>
        </w:tc>
      </w:tr>
    </w:tbl>
    <w:p w:rsidR="00C6243F" w:rsidRPr="003F3D54" w:rsidRDefault="00C6243F" w:rsidP="00C6243F">
      <w:pPr>
        <w:jc w:val="both"/>
        <w:rPr>
          <w:rFonts w:ascii="Arial" w:hAnsi="Arial" w:cs="Arial"/>
        </w:rPr>
      </w:pPr>
    </w:p>
    <w:p w:rsidR="00C6243F" w:rsidRDefault="00C6243F" w:rsidP="00C6243F">
      <w:pPr>
        <w:jc w:val="both"/>
        <w:rPr>
          <w:rFonts w:ascii="Arial" w:hAnsi="Arial" w:cs="Arial"/>
        </w:rPr>
      </w:pPr>
      <w:r>
        <w:rPr>
          <w:rFonts w:ascii="Arial" w:hAnsi="Arial" w:cs="Arial"/>
        </w:rPr>
        <w:t>The F</w:t>
      </w:r>
      <w:r w:rsidRPr="003F3D54">
        <w:rPr>
          <w:rFonts w:ascii="Arial" w:hAnsi="Arial" w:cs="Arial"/>
        </w:rPr>
        <w:t xml:space="preserve">aculty has scope for further growth in PGR numbers in terms of available supervision capacity. Current </w:t>
      </w:r>
      <w:r>
        <w:rPr>
          <w:rFonts w:ascii="Arial" w:hAnsi="Arial" w:cs="Arial"/>
        </w:rPr>
        <w:t>PGR</w:t>
      </w:r>
      <w:r w:rsidR="00EF09B7">
        <w:rPr>
          <w:rFonts w:ascii="Arial" w:hAnsi="Arial" w:cs="Arial"/>
        </w:rPr>
        <w:t xml:space="preserve"> to supervisor ratios are 1.6 in SEE, 1.6</w:t>
      </w:r>
      <w:r w:rsidRPr="003F3D54">
        <w:rPr>
          <w:rFonts w:ascii="Arial" w:hAnsi="Arial" w:cs="Arial"/>
        </w:rPr>
        <w:t xml:space="preserve"> in SOG and 2.0 in ITS. </w:t>
      </w:r>
      <w:r>
        <w:rPr>
          <w:rFonts w:ascii="Arial" w:hAnsi="Arial" w:cs="Arial"/>
        </w:rPr>
        <w:t xml:space="preserve">They are below the Russell Group universities figures competing for the same PGR candidate pool. </w:t>
      </w:r>
      <w:r w:rsidRPr="003F3D54">
        <w:rPr>
          <w:rFonts w:ascii="Arial" w:hAnsi="Arial" w:cs="Arial"/>
        </w:rPr>
        <w:t xml:space="preserve">Recruitment of UAFs </w:t>
      </w:r>
      <w:r>
        <w:rPr>
          <w:rFonts w:ascii="Arial" w:hAnsi="Arial" w:cs="Arial"/>
        </w:rPr>
        <w:t>and other early</w:t>
      </w:r>
      <w:r w:rsidRPr="003F3D54">
        <w:rPr>
          <w:rFonts w:ascii="Arial" w:hAnsi="Arial" w:cs="Arial"/>
        </w:rPr>
        <w:t xml:space="preserve"> career academic staff gives potential for</w:t>
      </w:r>
      <w:r>
        <w:rPr>
          <w:rFonts w:ascii="Arial" w:hAnsi="Arial" w:cs="Arial"/>
        </w:rPr>
        <w:t xml:space="preserve"> </w:t>
      </w:r>
      <w:r w:rsidRPr="003F3D54">
        <w:rPr>
          <w:rFonts w:ascii="Arial" w:hAnsi="Arial" w:cs="Arial"/>
        </w:rPr>
        <w:t xml:space="preserve">growth in </w:t>
      </w:r>
      <w:r>
        <w:rPr>
          <w:rFonts w:ascii="Arial" w:hAnsi="Arial" w:cs="Arial"/>
        </w:rPr>
        <w:t xml:space="preserve">the </w:t>
      </w:r>
      <w:r w:rsidRPr="003F3D54">
        <w:rPr>
          <w:rFonts w:ascii="Arial" w:hAnsi="Arial" w:cs="Arial"/>
        </w:rPr>
        <w:t>PGR numbers, provided that their involvement in PGR recruitment and supervision is supported and fostered</w:t>
      </w:r>
      <w:r>
        <w:rPr>
          <w:rFonts w:ascii="Arial" w:hAnsi="Arial" w:cs="Arial"/>
        </w:rPr>
        <w:t xml:space="preserve"> by mentoring of more senior academic members of staff</w:t>
      </w:r>
      <w:r w:rsidRPr="003F3D54">
        <w:rPr>
          <w:rFonts w:ascii="Arial" w:hAnsi="Arial" w:cs="Arial"/>
        </w:rPr>
        <w:t xml:space="preserve">, and that marketing and other efforts will help delivering </w:t>
      </w:r>
      <w:r>
        <w:rPr>
          <w:rFonts w:ascii="Arial" w:hAnsi="Arial" w:cs="Arial"/>
        </w:rPr>
        <w:t xml:space="preserve">the </w:t>
      </w:r>
      <w:r w:rsidRPr="003F3D54">
        <w:rPr>
          <w:rFonts w:ascii="Arial" w:hAnsi="Arial" w:cs="Arial"/>
        </w:rPr>
        <w:t>increased PGR numbers.</w:t>
      </w:r>
      <w:r>
        <w:rPr>
          <w:rFonts w:ascii="Arial" w:hAnsi="Arial" w:cs="Arial"/>
        </w:rPr>
        <w:t xml:space="preserve"> This means plans will be developed in schools to maximise the involvement of early career people in the PGR supervision.</w:t>
      </w:r>
      <w:r w:rsidR="00BD741B">
        <w:rPr>
          <w:rFonts w:ascii="Arial" w:hAnsi="Arial" w:cs="Arial"/>
        </w:rPr>
        <w:t xml:space="preserve">  </w:t>
      </w:r>
    </w:p>
    <w:p w:rsidR="00CA78EB" w:rsidRPr="003F3D54" w:rsidRDefault="00CA78EB" w:rsidP="00C6243F">
      <w:pPr>
        <w:jc w:val="both"/>
        <w:rPr>
          <w:rFonts w:ascii="Arial" w:hAnsi="Arial" w:cs="Arial"/>
        </w:rPr>
      </w:pPr>
    </w:p>
    <w:p w:rsidR="00EF09B7" w:rsidRDefault="00C6243F" w:rsidP="00C6243F">
      <w:pPr>
        <w:jc w:val="both"/>
        <w:rPr>
          <w:rFonts w:ascii="Arial" w:hAnsi="Arial" w:cs="Arial"/>
        </w:rPr>
      </w:pPr>
      <w:r w:rsidRPr="003F3D54">
        <w:rPr>
          <w:rFonts w:ascii="Arial" w:hAnsi="Arial" w:cs="Arial"/>
        </w:rPr>
        <w:t>Faculty of Environment has highly interdisciplinary character and its research spans the funding areas o</w:t>
      </w:r>
      <w:r>
        <w:rPr>
          <w:rFonts w:ascii="Arial" w:hAnsi="Arial" w:cs="Arial"/>
        </w:rPr>
        <w:t>f the AHRC, ESRC, NERC and EPSRC</w:t>
      </w:r>
      <w:r w:rsidRPr="003F3D54">
        <w:rPr>
          <w:rFonts w:ascii="Arial" w:hAnsi="Arial" w:cs="Arial"/>
        </w:rPr>
        <w:t>. While the Faculty is beneficiary of several large RCUK research training investments</w:t>
      </w:r>
      <w:r w:rsidR="0060642A">
        <w:rPr>
          <w:rFonts w:ascii="Arial" w:hAnsi="Arial" w:cs="Arial"/>
        </w:rPr>
        <w:t xml:space="preserve"> such as the ESRC White Rose DTP</w:t>
      </w:r>
      <w:r w:rsidRPr="003F3D54">
        <w:rPr>
          <w:rFonts w:ascii="Arial" w:hAnsi="Arial" w:cs="Arial"/>
        </w:rPr>
        <w:t>, Leeds York NERC DTP, and EPSRC CDTs on Bioenergy and Fluids, there is no single core source of PGR funding</w:t>
      </w:r>
      <w:r>
        <w:rPr>
          <w:rFonts w:ascii="Arial" w:hAnsi="Arial" w:cs="Arial"/>
        </w:rPr>
        <w:t xml:space="preserve"> for the Faculty</w:t>
      </w:r>
      <w:r w:rsidRPr="003F3D54">
        <w:rPr>
          <w:rFonts w:ascii="Arial" w:hAnsi="Arial" w:cs="Arial"/>
        </w:rPr>
        <w:t xml:space="preserve">. It is highly likely that overall number of studentships funded by RCUK will not grow, and </w:t>
      </w:r>
      <w:r>
        <w:rPr>
          <w:rFonts w:ascii="Arial" w:hAnsi="Arial" w:cs="Arial"/>
        </w:rPr>
        <w:t xml:space="preserve">the </w:t>
      </w:r>
      <w:r w:rsidRPr="003F3D54">
        <w:rPr>
          <w:rFonts w:ascii="Arial" w:hAnsi="Arial" w:cs="Arial"/>
        </w:rPr>
        <w:t>competition over them will increase. Recruitment of international PG</w:t>
      </w:r>
      <w:r>
        <w:rPr>
          <w:rFonts w:ascii="Arial" w:hAnsi="Arial" w:cs="Arial"/>
        </w:rPr>
        <w:t>Rs is similarly diverse at the F</w:t>
      </w:r>
      <w:r w:rsidR="00EF09B7">
        <w:rPr>
          <w:rFonts w:ascii="Arial" w:hAnsi="Arial" w:cs="Arial"/>
        </w:rPr>
        <w:t>aculty level</w:t>
      </w:r>
      <w:r w:rsidRPr="003F3D54">
        <w:rPr>
          <w:rFonts w:ascii="Arial" w:hAnsi="Arial" w:cs="Arial"/>
        </w:rPr>
        <w:t xml:space="preserve">. </w:t>
      </w:r>
    </w:p>
    <w:p w:rsidR="00EF09B7" w:rsidRDefault="00EF09B7" w:rsidP="00C6243F">
      <w:pPr>
        <w:jc w:val="both"/>
        <w:rPr>
          <w:rFonts w:ascii="Arial" w:hAnsi="Arial" w:cs="Arial"/>
        </w:rPr>
      </w:pPr>
    </w:p>
    <w:p w:rsidR="00EF09B7" w:rsidRPr="00827CDC" w:rsidRDefault="00EF09B7" w:rsidP="00EF09B7">
      <w:pPr>
        <w:rPr>
          <w:rFonts w:ascii="Arial" w:hAnsi="Arial" w:cs="Arial"/>
          <w:b/>
        </w:rPr>
      </w:pPr>
      <w:r w:rsidRPr="00827CDC">
        <w:rPr>
          <w:rFonts w:ascii="Arial" w:hAnsi="Arial" w:cs="Arial"/>
          <w:b/>
        </w:rPr>
        <w:t>Origin of PGR-I</w:t>
      </w:r>
      <w:r w:rsidR="005F5E0D">
        <w:rPr>
          <w:rFonts w:ascii="Arial" w:hAnsi="Arial" w:cs="Arial"/>
          <w:b/>
        </w:rPr>
        <w:t>nternational</w:t>
      </w:r>
    </w:p>
    <w:p w:rsidR="00EF09B7" w:rsidRPr="004E407F" w:rsidRDefault="00EF09B7" w:rsidP="00EF09B7">
      <w:pPr>
        <w:rPr>
          <w:rFonts w:ascii="Arial" w:hAnsi="Arial" w:cs="Arial"/>
        </w:rPr>
      </w:pPr>
      <w:r>
        <w:rPr>
          <w:rFonts w:ascii="Arial" w:hAnsi="Arial" w:cs="Arial"/>
        </w:rPr>
        <w:t>O</w:t>
      </w:r>
      <w:r w:rsidRPr="004E407F">
        <w:rPr>
          <w:rFonts w:ascii="Arial" w:hAnsi="Arial" w:cs="Arial"/>
        </w:rPr>
        <w:t>f the 1</w:t>
      </w:r>
      <w:r>
        <w:rPr>
          <w:rFonts w:ascii="Arial" w:hAnsi="Arial" w:cs="Arial"/>
        </w:rPr>
        <w:t xml:space="preserve">00 PGRs that started </w:t>
      </w:r>
      <w:r w:rsidRPr="004E407F">
        <w:rPr>
          <w:rFonts w:ascii="Arial" w:hAnsi="Arial" w:cs="Arial"/>
        </w:rPr>
        <w:t xml:space="preserve">in the </w:t>
      </w:r>
      <w:proofErr w:type="spellStart"/>
      <w:r>
        <w:rPr>
          <w:rFonts w:ascii="Arial" w:hAnsi="Arial" w:cs="Arial"/>
        </w:rPr>
        <w:t>FoE</w:t>
      </w:r>
      <w:proofErr w:type="spellEnd"/>
      <w:r w:rsidRPr="004E407F">
        <w:rPr>
          <w:rFonts w:ascii="Arial" w:hAnsi="Arial" w:cs="Arial"/>
        </w:rPr>
        <w:t xml:space="preserve"> </w:t>
      </w:r>
      <w:r>
        <w:rPr>
          <w:rFonts w:ascii="Arial" w:hAnsi="Arial" w:cs="Arial"/>
        </w:rPr>
        <w:t>during the period 1 Dec 2015-30 Nov 2016</w:t>
      </w:r>
      <w:r w:rsidRPr="004E407F">
        <w:rPr>
          <w:rFonts w:ascii="Arial" w:hAnsi="Arial" w:cs="Arial"/>
        </w:rPr>
        <w:t xml:space="preserve"> </w:t>
      </w:r>
      <w:r>
        <w:rPr>
          <w:rFonts w:ascii="Arial" w:hAnsi="Arial" w:cs="Arial"/>
        </w:rPr>
        <w:t xml:space="preserve">(54 SEE, 30 </w:t>
      </w:r>
      <w:proofErr w:type="spellStart"/>
      <w:r>
        <w:rPr>
          <w:rFonts w:ascii="Arial" w:hAnsi="Arial" w:cs="Arial"/>
        </w:rPr>
        <w:t>SoG</w:t>
      </w:r>
      <w:proofErr w:type="spellEnd"/>
      <w:r w:rsidRPr="004E407F">
        <w:rPr>
          <w:rFonts w:ascii="Arial" w:hAnsi="Arial" w:cs="Arial"/>
        </w:rPr>
        <w:t xml:space="preserve">, </w:t>
      </w:r>
      <w:r>
        <w:rPr>
          <w:rFonts w:ascii="Arial" w:hAnsi="Arial" w:cs="Arial"/>
        </w:rPr>
        <w:t xml:space="preserve">16 ITS), 28 were international (10 SEE, 13 </w:t>
      </w:r>
      <w:proofErr w:type="spellStart"/>
      <w:r>
        <w:rPr>
          <w:rFonts w:ascii="Arial" w:hAnsi="Arial" w:cs="Arial"/>
        </w:rPr>
        <w:t>SoG</w:t>
      </w:r>
      <w:proofErr w:type="spellEnd"/>
      <w:r>
        <w:rPr>
          <w:rFonts w:ascii="Arial" w:hAnsi="Arial" w:cs="Arial"/>
        </w:rPr>
        <w:t>,</w:t>
      </w:r>
      <w:r w:rsidRPr="004E407F">
        <w:rPr>
          <w:rFonts w:ascii="Arial" w:hAnsi="Arial" w:cs="Arial"/>
        </w:rPr>
        <w:t xml:space="preserve"> </w:t>
      </w:r>
      <w:r>
        <w:rPr>
          <w:rFonts w:ascii="Arial" w:hAnsi="Arial" w:cs="Arial"/>
        </w:rPr>
        <w:t xml:space="preserve">5 </w:t>
      </w:r>
      <w:r w:rsidRPr="004E407F">
        <w:rPr>
          <w:rFonts w:ascii="Arial" w:hAnsi="Arial" w:cs="Arial"/>
        </w:rPr>
        <w:t>ITS)</w:t>
      </w:r>
      <w:r>
        <w:rPr>
          <w:rFonts w:ascii="Arial" w:hAnsi="Arial" w:cs="Arial"/>
        </w:rPr>
        <w:t xml:space="preserve">, Geographical location and funding were: </w:t>
      </w:r>
      <w:r w:rsidR="005F5E0D">
        <w:rPr>
          <w:rFonts w:ascii="Arial" w:hAnsi="Arial" w:cs="Arial"/>
        </w:rPr>
        <w:t xml:space="preserve"> </w:t>
      </w:r>
      <w:r>
        <w:rPr>
          <w:rFonts w:ascii="Arial" w:hAnsi="Arial" w:cs="Arial"/>
        </w:rPr>
        <w:t xml:space="preserve">Chile; Mexico = 2; Thailand; Indonesian </w:t>
      </w:r>
      <w:proofErr w:type="spellStart"/>
      <w:r>
        <w:rPr>
          <w:rFonts w:ascii="Arial" w:hAnsi="Arial" w:cs="Arial"/>
        </w:rPr>
        <w:t>G</w:t>
      </w:r>
      <w:r w:rsidRPr="004E407F">
        <w:rPr>
          <w:rFonts w:ascii="Arial" w:hAnsi="Arial" w:cs="Arial"/>
        </w:rPr>
        <w:t>ov</w:t>
      </w:r>
      <w:r>
        <w:rPr>
          <w:rFonts w:ascii="Arial" w:hAnsi="Arial" w:cs="Arial"/>
        </w:rPr>
        <w:t>t</w:t>
      </w:r>
      <w:proofErr w:type="spellEnd"/>
      <w:r>
        <w:rPr>
          <w:rFonts w:ascii="Arial" w:hAnsi="Arial" w:cs="Arial"/>
        </w:rPr>
        <w:t xml:space="preserve"> = 3; China = 5; Taiwan; Malaysia; </w:t>
      </w:r>
      <w:r w:rsidRPr="004E407F">
        <w:rPr>
          <w:rFonts w:ascii="Arial" w:hAnsi="Arial" w:cs="Arial"/>
        </w:rPr>
        <w:t xml:space="preserve">Korean </w:t>
      </w:r>
      <w:proofErr w:type="spellStart"/>
      <w:r>
        <w:rPr>
          <w:rFonts w:ascii="Arial" w:hAnsi="Arial" w:cs="Arial"/>
        </w:rPr>
        <w:t>Govt</w:t>
      </w:r>
      <w:proofErr w:type="spellEnd"/>
      <w:r>
        <w:rPr>
          <w:rFonts w:ascii="Arial" w:hAnsi="Arial" w:cs="Arial"/>
        </w:rPr>
        <w:t xml:space="preserve"> = 1; </w:t>
      </w:r>
      <w:r w:rsidRPr="004E407F">
        <w:rPr>
          <w:rFonts w:ascii="Arial" w:hAnsi="Arial" w:cs="Arial"/>
        </w:rPr>
        <w:t xml:space="preserve">Nigerian </w:t>
      </w:r>
      <w:proofErr w:type="spellStart"/>
      <w:r>
        <w:rPr>
          <w:rFonts w:ascii="Arial" w:hAnsi="Arial" w:cs="Arial"/>
        </w:rPr>
        <w:t>Govt</w:t>
      </w:r>
      <w:proofErr w:type="spellEnd"/>
      <w:r>
        <w:rPr>
          <w:rFonts w:ascii="Arial" w:hAnsi="Arial" w:cs="Arial"/>
        </w:rPr>
        <w:t xml:space="preserve"> = 3; Nigerian </w:t>
      </w:r>
      <w:proofErr w:type="spellStart"/>
      <w:r>
        <w:rPr>
          <w:rFonts w:ascii="Arial" w:hAnsi="Arial" w:cs="Arial"/>
        </w:rPr>
        <w:t>Tetfund</w:t>
      </w:r>
      <w:proofErr w:type="spellEnd"/>
      <w:r>
        <w:rPr>
          <w:rFonts w:ascii="Arial" w:hAnsi="Arial" w:cs="Arial"/>
        </w:rPr>
        <w:t xml:space="preserve"> = 2; </w:t>
      </w:r>
      <w:r w:rsidRPr="004E407F">
        <w:rPr>
          <w:rFonts w:ascii="Arial" w:hAnsi="Arial" w:cs="Arial"/>
        </w:rPr>
        <w:t xml:space="preserve">Ghanaian </w:t>
      </w:r>
      <w:proofErr w:type="spellStart"/>
      <w:r>
        <w:rPr>
          <w:rFonts w:ascii="Arial" w:hAnsi="Arial" w:cs="Arial"/>
        </w:rPr>
        <w:t>Govt</w:t>
      </w:r>
      <w:proofErr w:type="spellEnd"/>
      <w:r>
        <w:rPr>
          <w:rFonts w:ascii="Arial" w:hAnsi="Arial" w:cs="Arial"/>
        </w:rPr>
        <w:t xml:space="preserve"> = 1; </w:t>
      </w:r>
      <w:r w:rsidRPr="004E407F">
        <w:rPr>
          <w:rFonts w:ascii="Arial" w:hAnsi="Arial" w:cs="Arial"/>
        </w:rPr>
        <w:t xml:space="preserve">Turkish </w:t>
      </w:r>
      <w:proofErr w:type="spellStart"/>
      <w:r>
        <w:rPr>
          <w:rFonts w:ascii="Arial" w:hAnsi="Arial" w:cs="Arial"/>
        </w:rPr>
        <w:t>Govt</w:t>
      </w:r>
      <w:proofErr w:type="spellEnd"/>
      <w:r>
        <w:rPr>
          <w:rFonts w:ascii="Arial" w:hAnsi="Arial" w:cs="Arial"/>
        </w:rPr>
        <w:t xml:space="preserve"> = 1; </w:t>
      </w:r>
      <w:r w:rsidRPr="004E407F">
        <w:rPr>
          <w:rFonts w:ascii="Arial" w:hAnsi="Arial" w:cs="Arial"/>
        </w:rPr>
        <w:t xml:space="preserve">Egyptian </w:t>
      </w:r>
      <w:proofErr w:type="spellStart"/>
      <w:r>
        <w:rPr>
          <w:rFonts w:ascii="Arial" w:hAnsi="Arial" w:cs="Arial"/>
        </w:rPr>
        <w:t>Govt</w:t>
      </w:r>
      <w:proofErr w:type="spellEnd"/>
      <w:r>
        <w:rPr>
          <w:rFonts w:ascii="Arial" w:hAnsi="Arial" w:cs="Arial"/>
        </w:rPr>
        <w:t xml:space="preserve"> = 1; Bahrain; </w:t>
      </w:r>
      <w:r w:rsidRPr="004E407F">
        <w:rPr>
          <w:rFonts w:ascii="Arial" w:hAnsi="Arial" w:cs="Arial"/>
        </w:rPr>
        <w:t>4 – self funded</w:t>
      </w:r>
    </w:p>
    <w:p w:rsidR="00EF09B7" w:rsidRDefault="00EF09B7" w:rsidP="00C6243F">
      <w:pPr>
        <w:jc w:val="both"/>
        <w:rPr>
          <w:rFonts w:ascii="Arial" w:hAnsi="Arial" w:cs="Arial"/>
        </w:rPr>
      </w:pPr>
    </w:p>
    <w:p w:rsidR="00C6243F" w:rsidRDefault="00C6243F" w:rsidP="00C6243F">
      <w:pPr>
        <w:jc w:val="both"/>
        <w:rPr>
          <w:rFonts w:ascii="Arial" w:hAnsi="Arial" w:cs="Arial"/>
        </w:rPr>
      </w:pPr>
      <w:r w:rsidRPr="003F3D54">
        <w:rPr>
          <w:rFonts w:ascii="Arial" w:hAnsi="Arial" w:cs="Arial"/>
        </w:rPr>
        <w:t xml:space="preserve">As it is unlikely that the prioritization of certain funding sources or target markets would be able to grow </w:t>
      </w:r>
      <w:r>
        <w:rPr>
          <w:rFonts w:ascii="Arial" w:hAnsi="Arial" w:cs="Arial"/>
        </w:rPr>
        <w:t>PGR</w:t>
      </w:r>
      <w:r w:rsidRPr="003F3D54">
        <w:rPr>
          <w:rFonts w:ascii="Arial" w:hAnsi="Arial" w:cs="Arial"/>
        </w:rPr>
        <w:t xml:space="preserve"> numbers </w:t>
      </w:r>
      <w:r>
        <w:rPr>
          <w:rFonts w:ascii="Arial" w:hAnsi="Arial" w:cs="Arial"/>
        </w:rPr>
        <w:t xml:space="preserve">as expected and </w:t>
      </w:r>
      <w:r w:rsidRPr="003F3D54">
        <w:rPr>
          <w:rFonts w:ascii="Arial" w:hAnsi="Arial" w:cs="Arial"/>
        </w:rPr>
        <w:t>support the i</w:t>
      </w:r>
      <w:r>
        <w:rPr>
          <w:rFonts w:ascii="Arial" w:hAnsi="Arial" w:cs="Arial"/>
        </w:rPr>
        <w:t>nterdisciplinary nature of the F</w:t>
      </w:r>
      <w:r w:rsidRPr="003F3D54">
        <w:rPr>
          <w:rFonts w:ascii="Arial" w:hAnsi="Arial" w:cs="Arial"/>
        </w:rPr>
        <w:t>aculty, the priority in the coming years will be to make better use of under-utilised sources and modes of PGR funding.</w:t>
      </w:r>
    </w:p>
    <w:p w:rsidR="00EF09B7" w:rsidRDefault="00EF09B7" w:rsidP="00C6243F">
      <w:pPr>
        <w:jc w:val="both"/>
        <w:rPr>
          <w:rFonts w:ascii="Arial" w:hAnsi="Arial" w:cs="Arial"/>
        </w:rPr>
      </w:pPr>
    </w:p>
    <w:p w:rsidR="00EF09B7" w:rsidRPr="00847AB3" w:rsidRDefault="00EF09B7" w:rsidP="00EF09B7">
      <w:pPr>
        <w:rPr>
          <w:rFonts w:ascii="Arial" w:hAnsi="Arial" w:cs="Arial"/>
          <w:b/>
        </w:rPr>
      </w:pPr>
      <w:r w:rsidRPr="00847AB3">
        <w:rPr>
          <w:rFonts w:ascii="Arial" w:hAnsi="Arial" w:cs="Arial"/>
          <w:b/>
        </w:rPr>
        <w:t>Funding</w:t>
      </w:r>
    </w:p>
    <w:p w:rsidR="00EF09B7" w:rsidRPr="003F3D54" w:rsidRDefault="00EF09B7" w:rsidP="00EF09B7">
      <w:pPr>
        <w:spacing w:before="120"/>
        <w:jc w:val="both"/>
        <w:rPr>
          <w:rFonts w:ascii="Arial" w:hAnsi="Arial" w:cs="Arial"/>
        </w:rPr>
      </w:pPr>
      <w:r>
        <w:rPr>
          <w:rFonts w:ascii="Arial" w:hAnsi="Arial" w:cs="Arial"/>
        </w:rPr>
        <w:t>The k</w:t>
      </w:r>
      <w:r w:rsidRPr="003F3D54">
        <w:rPr>
          <w:rFonts w:ascii="Arial" w:hAnsi="Arial" w:cs="Arial"/>
        </w:rPr>
        <w:t>ey under-utilised sources of PGR funding for the Faculty of Environment include the following:</w:t>
      </w:r>
    </w:p>
    <w:p w:rsidR="005F5E0D" w:rsidRPr="005F5E0D" w:rsidRDefault="00EF09B7" w:rsidP="005F5E0D">
      <w:pPr>
        <w:pStyle w:val="ListParagraph"/>
        <w:numPr>
          <w:ilvl w:val="0"/>
          <w:numId w:val="2"/>
        </w:numPr>
        <w:spacing w:before="120"/>
        <w:ind w:left="357" w:hanging="357"/>
        <w:contextualSpacing w:val="0"/>
        <w:jc w:val="both"/>
        <w:rPr>
          <w:rFonts w:ascii="Arial" w:hAnsi="Arial" w:cs="Arial"/>
          <w:lang w:val="en-GB"/>
        </w:rPr>
      </w:pPr>
      <w:r w:rsidRPr="003F3D54">
        <w:rPr>
          <w:rFonts w:ascii="Arial" w:hAnsi="Arial" w:cs="Arial"/>
          <w:color w:val="1A1A1A"/>
        </w:rPr>
        <w:t xml:space="preserve">European Union’s Marie </w:t>
      </w:r>
      <w:proofErr w:type="spellStart"/>
      <w:r w:rsidRPr="003F3D54">
        <w:rPr>
          <w:rFonts w:ascii="Arial" w:hAnsi="Arial" w:cs="Arial"/>
          <w:color w:val="1A1A1A"/>
        </w:rPr>
        <w:t>Skłodowska</w:t>
      </w:r>
      <w:proofErr w:type="spellEnd"/>
      <w:r w:rsidRPr="003F3D54">
        <w:rPr>
          <w:rFonts w:ascii="Arial" w:hAnsi="Arial" w:cs="Arial"/>
          <w:color w:val="1A1A1A"/>
        </w:rPr>
        <w:t xml:space="preserve"> Curie international training networks </w:t>
      </w:r>
      <w:r>
        <w:rPr>
          <w:rFonts w:ascii="Arial" w:hAnsi="Arial" w:cs="Arial"/>
          <w:color w:val="1A1A1A"/>
        </w:rPr>
        <w:t>(ITNs) are</w:t>
      </w:r>
      <w:r w:rsidRPr="003F3D54">
        <w:rPr>
          <w:rFonts w:ascii="Arial" w:hAnsi="Arial" w:cs="Arial"/>
          <w:color w:val="1A1A1A"/>
        </w:rPr>
        <w:t xml:space="preserve"> not </w:t>
      </w:r>
      <w:r>
        <w:rPr>
          <w:rFonts w:ascii="Arial" w:hAnsi="Arial" w:cs="Arial"/>
          <w:color w:val="1A1A1A"/>
        </w:rPr>
        <w:t xml:space="preserve">yet </w:t>
      </w:r>
      <w:r w:rsidRPr="003F3D54">
        <w:rPr>
          <w:rFonts w:ascii="Arial" w:hAnsi="Arial" w:cs="Arial"/>
          <w:color w:val="1A1A1A"/>
        </w:rPr>
        <w:t>harnessed to the e</w:t>
      </w:r>
      <w:r>
        <w:rPr>
          <w:rFonts w:ascii="Arial" w:hAnsi="Arial" w:cs="Arial"/>
          <w:color w:val="1A1A1A"/>
        </w:rPr>
        <w:t>xtent that they could, in comparison to the F</w:t>
      </w:r>
      <w:r w:rsidRPr="003F3D54">
        <w:rPr>
          <w:rFonts w:ascii="Arial" w:hAnsi="Arial" w:cs="Arial"/>
          <w:color w:val="1A1A1A"/>
        </w:rPr>
        <w:t xml:space="preserve">aculty’s </w:t>
      </w:r>
      <w:r>
        <w:rPr>
          <w:rFonts w:ascii="Arial" w:hAnsi="Arial" w:cs="Arial"/>
          <w:color w:val="1A1A1A"/>
        </w:rPr>
        <w:t>track record of obtaining</w:t>
      </w:r>
      <w:r w:rsidRPr="003F3D54">
        <w:rPr>
          <w:rFonts w:ascii="Arial" w:hAnsi="Arial" w:cs="Arial"/>
          <w:color w:val="1A1A1A"/>
        </w:rPr>
        <w:t xml:space="preserve"> </w:t>
      </w:r>
      <w:r>
        <w:rPr>
          <w:rFonts w:ascii="Arial" w:hAnsi="Arial" w:cs="Arial"/>
          <w:color w:val="1A1A1A"/>
        </w:rPr>
        <w:t xml:space="preserve">research grants </w:t>
      </w:r>
      <w:r w:rsidRPr="003F3D54">
        <w:rPr>
          <w:rFonts w:ascii="Arial" w:hAnsi="Arial" w:cs="Arial"/>
          <w:color w:val="1A1A1A"/>
        </w:rPr>
        <w:t xml:space="preserve">from FP7, H2020 and other EU funding </w:t>
      </w:r>
      <w:proofErr w:type="spellStart"/>
      <w:r w:rsidRPr="003F3D54">
        <w:rPr>
          <w:rFonts w:ascii="Arial" w:hAnsi="Arial" w:cs="Arial"/>
          <w:color w:val="1A1A1A"/>
        </w:rPr>
        <w:t>programmes</w:t>
      </w:r>
      <w:proofErr w:type="spellEnd"/>
      <w:r w:rsidRPr="003F3D54">
        <w:rPr>
          <w:rFonts w:ascii="Arial" w:hAnsi="Arial" w:cs="Arial"/>
          <w:color w:val="1A1A1A"/>
        </w:rPr>
        <w:t xml:space="preserve">. There are examples of </w:t>
      </w:r>
      <w:r>
        <w:rPr>
          <w:rFonts w:ascii="Arial" w:hAnsi="Arial" w:cs="Arial"/>
          <w:color w:val="1A1A1A"/>
        </w:rPr>
        <w:t>ITN success and experience in the Faculty and the U</w:t>
      </w:r>
      <w:r w:rsidRPr="003F3D54">
        <w:rPr>
          <w:rFonts w:ascii="Arial" w:hAnsi="Arial" w:cs="Arial"/>
          <w:color w:val="1A1A1A"/>
        </w:rPr>
        <w:t xml:space="preserve">niversity. </w:t>
      </w:r>
      <w:r>
        <w:rPr>
          <w:rFonts w:ascii="Arial" w:hAnsi="Arial" w:cs="Arial"/>
          <w:color w:val="1A1A1A"/>
        </w:rPr>
        <w:t>T</w:t>
      </w:r>
      <w:r w:rsidRPr="003F3D54">
        <w:rPr>
          <w:rFonts w:ascii="Arial" w:hAnsi="Arial" w:cs="Arial"/>
          <w:color w:val="1A1A1A"/>
        </w:rPr>
        <w:t>he use of MSC</w:t>
      </w:r>
      <w:r>
        <w:rPr>
          <w:rFonts w:ascii="Arial" w:hAnsi="Arial" w:cs="Arial"/>
          <w:color w:val="1A1A1A"/>
        </w:rPr>
        <w:t xml:space="preserve"> ITNs</w:t>
      </w:r>
      <w:r w:rsidRPr="003F3D54">
        <w:rPr>
          <w:rFonts w:ascii="Arial" w:hAnsi="Arial" w:cs="Arial"/>
          <w:color w:val="1A1A1A"/>
        </w:rPr>
        <w:t xml:space="preserve"> will</w:t>
      </w:r>
      <w:r>
        <w:rPr>
          <w:rFonts w:ascii="Arial" w:hAnsi="Arial" w:cs="Arial"/>
          <w:color w:val="1A1A1A"/>
        </w:rPr>
        <w:t xml:space="preserve"> be promoted by</w:t>
      </w:r>
      <w:r w:rsidRPr="003F3D54">
        <w:rPr>
          <w:rFonts w:ascii="Arial" w:hAnsi="Arial" w:cs="Arial"/>
          <w:color w:val="1A1A1A"/>
        </w:rPr>
        <w:t xml:space="preserve"> </w:t>
      </w:r>
      <w:r>
        <w:rPr>
          <w:rFonts w:ascii="Arial" w:hAnsi="Arial" w:cs="Arial"/>
          <w:color w:val="1A1A1A"/>
        </w:rPr>
        <w:t>organizing</w:t>
      </w:r>
      <w:r w:rsidRPr="003F3D54">
        <w:rPr>
          <w:rFonts w:ascii="Arial" w:hAnsi="Arial" w:cs="Arial"/>
          <w:color w:val="1A1A1A"/>
        </w:rPr>
        <w:t xml:space="preserve"> </w:t>
      </w:r>
      <w:r>
        <w:rPr>
          <w:rFonts w:ascii="Arial" w:hAnsi="Arial" w:cs="Arial"/>
          <w:color w:val="1A1A1A"/>
        </w:rPr>
        <w:t xml:space="preserve">information </w:t>
      </w:r>
      <w:r w:rsidRPr="003F3D54">
        <w:rPr>
          <w:rFonts w:ascii="Arial" w:hAnsi="Arial" w:cs="Arial"/>
          <w:color w:val="1A1A1A"/>
        </w:rPr>
        <w:t>event</w:t>
      </w:r>
      <w:r>
        <w:rPr>
          <w:rFonts w:ascii="Arial" w:hAnsi="Arial" w:cs="Arial"/>
          <w:color w:val="1A1A1A"/>
        </w:rPr>
        <w:t>s to academic staff</w:t>
      </w:r>
      <w:r w:rsidRPr="003F3D54">
        <w:rPr>
          <w:rFonts w:ascii="Arial" w:hAnsi="Arial" w:cs="Arial"/>
          <w:color w:val="1A1A1A"/>
        </w:rPr>
        <w:t xml:space="preserve"> to share peer experience and practical i</w:t>
      </w:r>
      <w:r>
        <w:rPr>
          <w:rFonts w:ascii="Arial" w:hAnsi="Arial" w:cs="Arial"/>
          <w:color w:val="1A1A1A"/>
        </w:rPr>
        <w:t>nsights, and by organizing peer support for the development of ITN proposals.</w:t>
      </w:r>
      <w:r w:rsidRPr="003F3D54">
        <w:rPr>
          <w:rFonts w:ascii="Arial" w:hAnsi="Arial" w:cs="Arial"/>
          <w:color w:val="1A1A1A"/>
        </w:rPr>
        <w:t xml:space="preserve"> </w:t>
      </w:r>
    </w:p>
    <w:p w:rsidR="005F5E0D" w:rsidRDefault="00EF09B7" w:rsidP="005F5E0D">
      <w:pPr>
        <w:pStyle w:val="ListParagraph"/>
        <w:numPr>
          <w:ilvl w:val="0"/>
          <w:numId w:val="2"/>
        </w:numPr>
        <w:spacing w:before="120"/>
        <w:ind w:left="357" w:hanging="357"/>
        <w:contextualSpacing w:val="0"/>
        <w:jc w:val="both"/>
        <w:rPr>
          <w:rFonts w:ascii="Arial" w:hAnsi="Arial" w:cs="Arial"/>
        </w:rPr>
      </w:pPr>
      <w:r w:rsidRPr="005F5E0D">
        <w:rPr>
          <w:rFonts w:ascii="Arial" w:hAnsi="Arial" w:cs="Arial"/>
          <w:lang w:val="en-GB"/>
        </w:rPr>
        <w:t xml:space="preserve">Dual PhD degrees provide another model that can provide complementary PGR funding. The work done earlier to prepare the </w:t>
      </w:r>
      <w:proofErr w:type="spellStart"/>
      <w:r w:rsidRPr="005F5E0D">
        <w:rPr>
          <w:rFonts w:ascii="Arial" w:hAnsi="Arial" w:cs="Arial"/>
          <w:lang w:val="en-GB"/>
        </w:rPr>
        <w:t>UniCamp</w:t>
      </w:r>
      <w:proofErr w:type="spellEnd"/>
      <w:r w:rsidRPr="005F5E0D">
        <w:rPr>
          <w:rFonts w:ascii="Arial" w:hAnsi="Arial" w:cs="Arial"/>
          <w:lang w:val="en-GB"/>
        </w:rPr>
        <w:t xml:space="preserve"> dual degree documentation and solutions will provide a resource for further initiatives, and lesson-sharing across University will provide additional help.</w:t>
      </w:r>
      <w:r w:rsidR="00FA6DAF" w:rsidRPr="005F5E0D">
        <w:rPr>
          <w:rFonts w:ascii="Arial" w:hAnsi="Arial" w:cs="Arial"/>
          <w:sz w:val="22"/>
          <w:szCs w:val="22"/>
        </w:rPr>
        <w:t xml:space="preserve"> </w:t>
      </w:r>
      <w:r w:rsidR="00FA6DAF" w:rsidRPr="005F5E0D">
        <w:rPr>
          <w:rFonts w:ascii="Arial" w:hAnsi="Arial" w:cs="Arial"/>
        </w:rPr>
        <w:t>A</w:t>
      </w:r>
      <w:r w:rsidR="0060642A">
        <w:rPr>
          <w:rFonts w:ascii="Arial" w:hAnsi="Arial" w:cs="Arial"/>
        </w:rPr>
        <w:t xml:space="preserve"> dual award was agreed with </w:t>
      </w:r>
      <w:proofErr w:type="spellStart"/>
      <w:r w:rsidR="0060642A">
        <w:rPr>
          <w:rFonts w:ascii="Arial" w:hAnsi="Arial" w:cs="Arial"/>
        </w:rPr>
        <w:t>UniC</w:t>
      </w:r>
      <w:r w:rsidR="00FA6DAF" w:rsidRPr="005F5E0D">
        <w:rPr>
          <w:rFonts w:ascii="Arial" w:hAnsi="Arial" w:cs="Arial"/>
        </w:rPr>
        <w:t>amp</w:t>
      </w:r>
      <w:proofErr w:type="spellEnd"/>
      <w:r w:rsidR="00FA6DAF" w:rsidRPr="005F5E0D">
        <w:rPr>
          <w:rFonts w:ascii="Arial" w:hAnsi="Arial" w:cs="Arial"/>
        </w:rPr>
        <w:t xml:space="preserve"> in Brazil, but is not yet operational due to funding changes in Brazil. A program with SUSTECH in China is starting that includes one year study in Leeds.</w:t>
      </w:r>
    </w:p>
    <w:p w:rsidR="00EF09B7" w:rsidRPr="005F5E0D" w:rsidRDefault="00EF09B7" w:rsidP="00EF09B7">
      <w:pPr>
        <w:pStyle w:val="ListParagraph"/>
        <w:numPr>
          <w:ilvl w:val="0"/>
          <w:numId w:val="2"/>
        </w:numPr>
        <w:spacing w:before="120"/>
        <w:ind w:left="357" w:hanging="357"/>
        <w:contextualSpacing w:val="0"/>
        <w:jc w:val="both"/>
        <w:rPr>
          <w:rFonts w:ascii="Arial" w:hAnsi="Arial" w:cs="Arial"/>
          <w:lang w:val="en-GB"/>
        </w:rPr>
      </w:pPr>
      <w:r w:rsidRPr="005F5E0D">
        <w:rPr>
          <w:rFonts w:ascii="Arial" w:hAnsi="Arial" w:cs="Arial"/>
          <w:lang w:val="en-GB"/>
        </w:rPr>
        <w:t>Greater effort can be made to market and target PGR recruitment from middle-income countries such as Brazil, China, India, Indonesia and Mexico that have strong national funding programmes for international PGR training. We are currently taking stock of these funding programmes and will develop marketing and targeting solutions for increased PGR recruitment in light of the results of this work.</w:t>
      </w:r>
      <w:r w:rsidR="005F5E0D" w:rsidRPr="005F5E0D">
        <w:rPr>
          <w:rFonts w:ascii="Arial" w:hAnsi="Arial" w:cs="Arial"/>
        </w:rPr>
        <w:t xml:space="preserve"> However, previous countries of origin of PGR-I may not be a reliable guide to future recruitment potential as scholarship programs chan</w:t>
      </w:r>
      <w:r w:rsidR="005D5A29">
        <w:rPr>
          <w:rFonts w:ascii="Arial" w:hAnsi="Arial" w:cs="Arial"/>
        </w:rPr>
        <w:t>ge (</w:t>
      </w:r>
      <w:proofErr w:type="spellStart"/>
      <w:r w:rsidR="005D5A29">
        <w:rPr>
          <w:rFonts w:ascii="Arial" w:hAnsi="Arial" w:cs="Arial"/>
        </w:rPr>
        <w:t>eg</w:t>
      </w:r>
      <w:proofErr w:type="spellEnd"/>
      <w:r w:rsidR="005D5A29">
        <w:rPr>
          <w:rFonts w:ascii="Arial" w:hAnsi="Arial" w:cs="Arial"/>
        </w:rPr>
        <w:t>, the Brazil’s Science w</w:t>
      </w:r>
      <w:r w:rsidR="005F5E0D" w:rsidRPr="005F5E0D">
        <w:rPr>
          <w:rFonts w:ascii="Arial" w:hAnsi="Arial" w:cs="Arial"/>
        </w:rPr>
        <w:t xml:space="preserve">ithout Borders program has been halted; decline in oil price has affected students from the Gulf). </w:t>
      </w:r>
    </w:p>
    <w:p w:rsidR="00EF09B7" w:rsidRPr="003F3D54" w:rsidRDefault="00EF09B7" w:rsidP="00EF09B7">
      <w:pPr>
        <w:pStyle w:val="ListParagraph"/>
        <w:numPr>
          <w:ilvl w:val="0"/>
          <w:numId w:val="2"/>
        </w:numPr>
        <w:spacing w:before="120"/>
        <w:ind w:left="357" w:hanging="357"/>
        <w:contextualSpacing w:val="0"/>
        <w:jc w:val="both"/>
        <w:rPr>
          <w:rFonts w:ascii="Arial" w:hAnsi="Arial" w:cs="Arial"/>
          <w:lang w:val="en-GB"/>
        </w:rPr>
      </w:pPr>
      <w:r>
        <w:rPr>
          <w:rFonts w:ascii="Arial" w:hAnsi="Arial" w:cs="Arial"/>
          <w:lang w:val="en-GB"/>
        </w:rPr>
        <w:t>The Faculty will also strive to ensure continued university investment in PGR funding so that balanced investment is going forward for UK/EU and international studentships and that the University-funded schemes are consolidated so as to provide balanced support for strategic and excellence-based areas of research.</w:t>
      </w:r>
    </w:p>
    <w:p w:rsidR="00EF09B7" w:rsidRPr="00B2049F" w:rsidRDefault="00EF09B7" w:rsidP="00EF09B7">
      <w:pPr>
        <w:jc w:val="both"/>
        <w:rPr>
          <w:rFonts w:ascii="Arial" w:hAnsi="Arial" w:cs="Arial"/>
        </w:rPr>
      </w:pPr>
    </w:p>
    <w:p w:rsidR="00EF09B7" w:rsidRPr="00FF46DA" w:rsidRDefault="00EF09B7" w:rsidP="00EF09B7">
      <w:pPr>
        <w:rPr>
          <w:rFonts w:ascii="Arial" w:hAnsi="Arial" w:cs="Arial"/>
          <w:b/>
        </w:rPr>
      </w:pPr>
      <w:r w:rsidRPr="00FF46DA">
        <w:rPr>
          <w:rFonts w:ascii="Arial" w:hAnsi="Arial" w:cs="Arial"/>
          <w:b/>
        </w:rPr>
        <w:t>Actions</w:t>
      </w:r>
    </w:p>
    <w:p w:rsidR="00EF09B7" w:rsidRPr="002315C6" w:rsidRDefault="00EF09B7" w:rsidP="00EF09B7">
      <w:pPr>
        <w:pStyle w:val="ListParagraph"/>
        <w:numPr>
          <w:ilvl w:val="0"/>
          <w:numId w:val="5"/>
        </w:numPr>
        <w:rPr>
          <w:rFonts w:ascii="Arial" w:hAnsi="Arial" w:cs="Arial"/>
        </w:rPr>
      </w:pPr>
      <w:r w:rsidRPr="002315C6">
        <w:rPr>
          <w:rFonts w:ascii="Arial" w:hAnsi="Arial" w:cs="Arial"/>
        </w:rPr>
        <w:t>Assess supervisory model to spread supervision loads more evenly (Heads of Schools)</w:t>
      </w:r>
    </w:p>
    <w:p w:rsidR="00EF09B7" w:rsidRPr="002315C6" w:rsidRDefault="00EF09B7" w:rsidP="00EF09B7">
      <w:pPr>
        <w:pStyle w:val="ListParagraph"/>
        <w:numPr>
          <w:ilvl w:val="0"/>
          <w:numId w:val="5"/>
        </w:numPr>
        <w:rPr>
          <w:rFonts w:ascii="Arial" w:hAnsi="Arial" w:cs="Arial"/>
        </w:rPr>
      </w:pPr>
      <w:r w:rsidRPr="002315C6">
        <w:rPr>
          <w:rFonts w:ascii="Arial" w:hAnsi="Arial" w:cs="Arial"/>
        </w:rPr>
        <w:t>Encourage research clusters/ hubs/ themes to apply for ITNs (Directors of Research)</w:t>
      </w:r>
    </w:p>
    <w:p w:rsidR="00EF09B7" w:rsidRPr="002315C6" w:rsidRDefault="00EF09B7" w:rsidP="00EF09B7">
      <w:pPr>
        <w:pStyle w:val="ListParagraph"/>
        <w:numPr>
          <w:ilvl w:val="0"/>
          <w:numId w:val="5"/>
        </w:numPr>
        <w:rPr>
          <w:rFonts w:ascii="Arial" w:hAnsi="Arial" w:cs="Arial"/>
        </w:rPr>
      </w:pPr>
      <w:r w:rsidRPr="002315C6">
        <w:rPr>
          <w:rFonts w:ascii="Arial" w:hAnsi="Arial" w:cs="Arial"/>
        </w:rPr>
        <w:t xml:space="preserve">Develop partnerships in countries with strong scholarship </w:t>
      </w:r>
      <w:proofErr w:type="spellStart"/>
      <w:r w:rsidRPr="002315C6">
        <w:rPr>
          <w:rFonts w:ascii="Arial" w:hAnsi="Arial" w:cs="Arial"/>
        </w:rPr>
        <w:t>programmes</w:t>
      </w:r>
      <w:proofErr w:type="spellEnd"/>
      <w:r w:rsidRPr="002315C6">
        <w:rPr>
          <w:rFonts w:ascii="Arial" w:hAnsi="Arial" w:cs="Arial"/>
        </w:rPr>
        <w:t xml:space="preserve"> through the alumni-research-recruitment approach (Alumni Officers, researchers, International Office).</w:t>
      </w:r>
    </w:p>
    <w:p w:rsidR="00EF09B7" w:rsidRPr="002315C6" w:rsidRDefault="00EF09B7" w:rsidP="00EF09B7">
      <w:pPr>
        <w:pStyle w:val="ListParagraph"/>
        <w:numPr>
          <w:ilvl w:val="0"/>
          <w:numId w:val="5"/>
        </w:numPr>
        <w:rPr>
          <w:rFonts w:ascii="Arial" w:hAnsi="Arial" w:cs="Arial"/>
        </w:rPr>
      </w:pPr>
      <w:r w:rsidRPr="002315C6">
        <w:rPr>
          <w:rFonts w:ascii="Arial" w:hAnsi="Arial" w:cs="Arial"/>
        </w:rPr>
        <w:t>Develop dual award programs with excellent partners (researchers, International Office).</w:t>
      </w:r>
    </w:p>
    <w:p w:rsidR="00EF09B7" w:rsidRDefault="00EF09B7" w:rsidP="00EF09B7">
      <w:pPr>
        <w:pStyle w:val="ListParagraph"/>
        <w:rPr>
          <w:rFonts w:ascii="Arial" w:hAnsi="Arial" w:cs="Arial"/>
          <w:sz w:val="22"/>
          <w:szCs w:val="22"/>
        </w:rPr>
      </w:pPr>
    </w:p>
    <w:p w:rsidR="00EF09B7" w:rsidRPr="00FA6DAF" w:rsidRDefault="00EF09B7" w:rsidP="00EF09B7">
      <w:pPr>
        <w:pStyle w:val="ListParagraph"/>
        <w:ind w:left="0"/>
        <w:rPr>
          <w:rFonts w:ascii="Arial" w:hAnsi="Arial" w:cs="Arial"/>
          <w:b/>
        </w:rPr>
      </w:pPr>
      <w:r w:rsidRPr="00FA6DAF">
        <w:rPr>
          <w:rFonts w:ascii="Arial" w:hAnsi="Arial" w:cs="Arial"/>
          <w:b/>
        </w:rPr>
        <w:t>International Agreements that are progressing</w:t>
      </w:r>
    </w:p>
    <w:p w:rsidR="00EF09B7" w:rsidRPr="00FA6DAF" w:rsidRDefault="00EF09B7" w:rsidP="00EF09B7">
      <w:pPr>
        <w:pStyle w:val="ListParagraph"/>
        <w:ind w:left="0"/>
        <w:rPr>
          <w:rFonts w:ascii="Arial" w:hAnsi="Arial" w:cs="Arial"/>
        </w:rPr>
      </w:pPr>
    </w:p>
    <w:p w:rsidR="00EF09B7" w:rsidRPr="00FA6DAF" w:rsidRDefault="00EF09B7" w:rsidP="00EF09B7">
      <w:pPr>
        <w:pStyle w:val="ListParagraph"/>
        <w:numPr>
          <w:ilvl w:val="0"/>
          <w:numId w:val="6"/>
        </w:numPr>
        <w:rPr>
          <w:rFonts w:ascii="Arial" w:hAnsi="Arial" w:cs="Arial"/>
        </w:rPr>
      </w:pPr>
      <w:r w:rsidRPr="00FA6DAF">
        <w:rPr>
          <w:rFonts w:ascii="Arial" w:hAnsi="Arial" w:cs="Arial"/>
        </w:rPr>
        <w:t>Nanjing (Steve Banwart/SEE)</w:t>
      </w:r>
    </w:p>
    <w:p w:rsidR="00EF09B7" w:rsidRPr="00FA6DAF" w:rsidRDefault="00EF09B7" w:rsidP="00EF09B7">
      <w:pPr>
        <w:pStyle w:val="ListParagraph"/>
        <w:numPr>
          <w:ilvl w:val="0"/>
          <w:numId w:val="6"/>
        </w:numPr>
        <w:rPr>
          <w:rFonts w:ascii="Arial" w:hAnsi="Arial" w:cs="Arial"/>
        </w:rPr>
      </w:pPr>
      <w:r w:rsidRPr="00FA6DAF">
        <w:rPr>
          <w:rFonts w:ascii="Arial" w:hAnsi="Arial" w:cs="Arial"/>
        </w:rPr>
        <w:t xml:space="preserve">Ben </w:t>
      </w:r>
      <w:proofErr w:type="spellStart"/>
      <w:r w:rsidRPr="00FA6DAF">
        <w:rPr>
          <w:rFonts w:ascii="Arial" w:hAnsi="Arial" w:cs="Arial"/>
        </w:rPr>
        <w:t>Gurion</w:t>
      </w:r>
      <w:proofErr w:type="spellEnd"/>
      <w:r w:rsidRPr="00FA6DAF">
        <w:rPr>
          <w:rFonts w:ascii="Arial" w:hAnsi="Arial" w:cs="Arial"/>
        </w:rPr>
        <w:t>, Isr</w:t>
      </w:r>
      <w:r w:rsidR="008C0D93">
        <w:rPr>
          <w:rFonts w:ascii="Arial" w:hAnsi="Arial" w:cs="Arial"/>
        </w:rPr>
        <w:t>ae</w:t>
      </w:r>
      <w:r w:rsidRPr="00FA6DAF">
        <w:rPr>
          <w:rFonts w:ascii="Arial" w:hAnsi="Arial" w:cs="Arial"/>
        </w:rPr>
        <w:t>l (Pazit Ziv/</w:t>
      </w:r>
      <w:proofErr w:type="spellStart"/>
      <w:r w:rsidRPr="00FA6DAF">
        <w:rPr>
          <w:rFonts w:ascii="Arial" w:hAnsi="Arial" w:cs="Arial"/>
        </w:rPr>
        <w:t>Water@Leeds</w:t>
      </w:r>
      <w:proofErr w:type="spellEnd"/>
      <w:r w:rsidRPr="00FA6DAF">
        <w:rPr>
          <w:rFonts w:ascii="Arial" w:hAnsi="Arial" w:cs="Arial"/>
        </w:rPr>
        <w:t>)</w:t>
      </w:r>
    </w:p>
    <w:p w:rsidR="00EF09B7" w:rsidRPr="003E2D38" w:rsidRDefault="00EF09B7" w:rsidP="003E2D38">
      <w:pPr>
        <w:pStyle w:val="ListParagraph"/>
        <w:numPr>
          <w:ilvl w:val="0"/>
          <w:numId w:val="6"/>
        </w:numPr>
        <w:rPr>
          <w:rFonts w:ascii="Arial" w:hAnsi="Arial" w:cs="Arial"/>
        </w:rPr>
      </w:pPr>
      <w:r w:rsidRPr="00FA6DAF">
        <w:rPr>
          <w:rFonts w:ascii="Arial" w:hAnsi="Arial" w:cs="Arial"/>
        </w:rPr>
        <w:t>Resilience Development Initiative (RDI), Indonesia, MoU (Jon Lovett/</w:t>
      </w:r>
      <w:proofErr w:type="spellStart"/>
      <w:r w:rsidRPr="00FA6DAF">
        <w:rPr>
          <w:rFonts w:ascii="Arial" w:hAnsi="Arial" w:cs="Arial"/>
        </w:rPr>
        <w:t>SoG</w:t>
      </w:r>
      <w:proofErr w:type="spellEnd"/>
      <w:r w:rsidRPr="00FA6DAF">
        <w:rPr>
          <w:rFonts w:ascii="Arial" w:hAnsi="Arial" w:cs="Arial"/>
        </w:rPr>
        <w:t>)</w:t>
      </w:r>
    </w:p>
    <w:p w:rsidR="00EF09B7" w:rsidRPr="00FA6DAF" w:rsidRDefault="00EF09B7" w:rsidP="00EF09B7">
      <w:pPr>
        <w:pStyle w:val="ListParagraph"/>
        <w:rPr>
          <w:rFonts w:ascii="Arial" w:hAnsi="Arial" w:cs="Arial"/>
        </w:rPr>
      </w:pPr>
    </w:p>
    <w:p w:rsidR="00C6243F" w:rsidRDefault="00C6243F" w:rsidP="00C6243F">
      <w:pPr>
        <w:jc w:val="both"/>
        <w:rPr>
          <w:rFonts w:ascii="Arial" w:hAnsi="Arial" w:cs="Arial"/>
        </w:rPr>
      </w:pPr>
      <w:r w:rsidRPr="00B2049F">
        <w:rPr>
          <w:rFonts w:ascii="Arial" w:hAnsi="Arial" w:cs="Arial"/>
        </w:rPr>
        <w:lastRenderedPageBreak/>
        <w:t>In the area of marketing, effort has already been made to ensure that outward web interface portray</w:t>
      </w:r>
      <w:r w:rsidR="006C77F1">
        <w:rPr>
          <w:rFonts w:ascii="Arial" w:hAnsi="Arial" w:cs="Arial"/>
        </w:rPr>
        <w:t>s gender-balanced image of the F</w:t>
      </w:r>
      <w:r w:rsidRPr="00B2049F">
        <w:rPr>
          <w:rFonts w:ascii="Arial" w:hAnsi="Arial" w:cs="Arial"/>
        </w:rPr>
        <w:t xml:space="preserve">aculty in all schools, to encourage applications from female candidates. </w:t>
      </w:r>
      <w:r w:rsidR="006C77F1">
        <w:rPr>
          <w:rFonts w:ascii="Arial" w:hAnsi="Arial" w:cs="Arial"/>
        </w:rPr>
        <w:t>The F</w:t>
      </w:r>
      <w:r w:rsidRPr="00B2049F">
        <w:rPr>
          <w:rFonts w:ascii="Arial" w:hAnsi="Arial" w:cs="Arial"/>
        </w:rPr>
        <w:t xml:space="preserve">aculty is already performing above the national benchmark in terms of gender in recruitment, but can further improve its record. </w:t>
      </w:r>
      <w:r>
        <w:rPr>
          <w:rFonts w:ascii="Arial" w:hAnsi="Arial" w:cs="Arial"/>
        </w:rPr>
        <w:t>Effort will be made that the goals of the Athena Swan and other initiatives for gender-fair and in other ways equitable recru</w:t>
      </w:r>
      <w:r w:rsidR="006C77F1">
        <w:rPr>
          <w:rFonts w:ascii="Arial" w:hAnsi="Arial" w:cs="Arial"/>
        </w:rPr>
        <w:t>itment will be achieved in the F</w:t>
      </w:r>
      <w:r>
        <w:rPr>
          <w:rFonts w:ascii="Arial" w:hAnsi="Arial" w:cs="Arial"/>
        </w:rPr>
        <w:t>aculty.</w:t>
      </w:r>
      <w:r w:rsidRPr="00B2049F">
        <w:rPr>
          <w:rFonts w:ascii="Arial" w:hAnsi="Arial" w:cs="Arial"/>
        </w:rPr>
        <w:t xml:space="preserve"> </w:t>
      </w:r>
    </w:p>
    <w:p w:rsidR="00C6243F" w:rsidRDefault="00C6243F" w:rsidP="00C6243F">
      <w:pPr>
        <w:jc w:val="both"/>
        <w:rPr>
          <w:rFonts w:ascii="Arial" w:hAnsi="Arial" w:cs="Arial"/>
        </w:rPr>
      </w:pPr>
    </w:p>
    <w:p w:rsidR="00C6243F" w:rsidRDefault="00C6243F" w:rsidP="00C6243F">
      <w:pPr>
        <w:jc w:val="both"/>
        <w:rPr>
          <w:rFonts w:ascii="Arial" w:hAnsi="Arial" w:cs="Arial"/>
        </w:rPr>
      </w:pPr>
      <w:r w:rsidRPr="00B2049F">
        <w:rPr>
          <w:rFonts w:ascii="Arial" w:hAnsi="Arial" w:cs="Arial"/>
        </w:rPr>
        <w:t xml:space="preserve">Part-time and </w:t>
      </w:r>
      <w:r>
        <w:rPr>
          <w:rFonts w:ascii="Arial" w:hAnsi="Arial" w:cs="Arial"/>
        </w:rPr>
        <w:t xml:space="preserve">work and </w:t>
      </w:r>
      <w:r w:rsidRPr="00B2049F">
        <w:rPr>
          <w:rFonts w:ascii="Arial" w:hAnsi="Arial" w:cs="Arial"/>
        </w:rPr>
        <w:t xml:space="preserve">family friendly arrangements will be </w:t>
      </w:r>
      <w:r w:rsidR="006C77F1">
        <w:rPr>
          <w:rFonts w:ascii="Arial" w:hAnsi="Arial" w:cs="Arial"/>
        </w:rPr>
        <w:t>highlighted to ensure that the F</w:t>
      </w:r>
      <w:r w:rsidRPr="00B2049F">
        <w:rPr>
          <w:rFonts w:ascii="Arial" w:hAnsi="Arial" w:cs="Arial"/>
        </w:rPr>
        <w:t>aculty’s offer is considered manageable by as many potential candidates as possible.</w:t>
      </w:r>
      <w:r w:rsidRPr="00D560ED">
        <w:rPr>
          <w:rFonts w:ascii="Arial" w:hAnsi="Arial" w:cs="Arial"/>
        </w:rPr>
        <w:t xml:space="preserve"> </w:t>
      </w:r>
    </w:p>
    <w:p w:rsidR="00C6243F" w:rsidRDefault="00C6243F" w:rsidP="00C6243F">
      <w:pPr>
        <w:jc w:val="both"/>
        <w:rPr>
          <w:rFonts w:ascii="Arial" w:hAnsi="Arial" w:cs="Arial"/>
        </w:rPr>
      </w:pPr>
    </w:p>
    <w:p w:rsidR="00C6243F" w:rsidRDefault="00C6243F" w:rsidP="00C6243F">
      <w:pPr>
        <w:jc w:val="both"/>
        <w:rPr>
          <w:rFonts w:ascii="Arial" w:hAnsi="Arial" w:cs="Arial"/>
        </w:rPr>
      </w:pPr>
      <w:r w:rsidRPr="00B2049F">
        <w:rPr>
          <w:rFonts w:ascii="Arial" w:hAnsi="Arial" w:cs="Arial"/>
        </w:rPr>
        <w:t xml:space="preserve">Further effort will </w:t>
      </w:r>
      <w:r>
        <w:rPr>
          <w:rFonts w:ascii="Arial" w:hAnsi="Arial" w:cs="Arial"/>
        </w:rPr>
        <w:t xml:space="preserve">also </w:t>
      </w:r>
      <w:r w:rsidRPr="00B2049F">
        <w:rPr>
          <w:rFonts w:ascii="Arial" w:hAnsi="Arial" w:cs="Arial"/>
        </w:rPr>
        <w:t xml:space="preserve">be made to ensure that the international PGR track record and experience is covered in the </w:t>
      </w:r>
      <w:r w:rsidR="006C77F1">
        <w:rPr>
          <w:rFonts w:ascii="Arial" w:hAnsi="Arial" w:cs="Arial"/>
        </w:rPr>
        <w:t>F</w:t>
      </w:r>
      <w:r>
        <w:rPr>
          <w:rFonts w:ascii="Arial" w:hAnsi="Arial" w:cs="Arial"/>
        </w:rPr>
        <w:t xml:space="preserve">aculty’s </w:t>
      </w:r>
      <w:r w:rsidRPr="00B2049F">
        <w:rPr>
          <w:rFonts w:ascii="Arial" w:hAnsi="Arial" w:cs="Arial"/>
        </w:rPr>
        <w:t>web and marketing presence</w:t>
      </w:r>
      <w:r>
        <w:rPr>
          <w:rFonts w:ascii="Arial" w:hAnsi="Arial" w:cs="Arial"/>
        </w:rPr>
        <w:t xml:space="preserve"> visibly and to its best potential</w:t>
      </w:r>
      <w:r w:rsidRPr="00B2049F">
        <w:rPr>
          <w:rFonts w:ascii="Arial" w:hAnsi="Arial" w:cs="Arial"/>
        </w:rPr>
        <w:t>.</w:t>
      </w:r>
    </w:p>
    <w:p w:rsidR="00B01034" w:rsidRDefault="00B01034" w:rsidP="00C6243F">
      <w:pPr>
        <w:jc w:val="both"/>
        <w:rPr>
          <w:rFonts w:ascii="Arial" w:hAnsi="Arial" w:cs="Arial"/>
        </w:rPr>
      </w:pPr>
    </w:p>
    <w:p w:rsidR="00B01034" w:rsidRPr="00EF09B7" w:rsidRDefault="00B01034" w:rsidP="00C6243F">
      <w:pPr>
        <w:jc w:val="both"/>
        <w:rPr>
          <w:rFonts w:ascii="Arial" w:hAnsi="Arial" w:cs="Arial"/>
        </w:rPr>
      </w:pPr>
      <w:r w:rsidRPr="00EF09B7">
        <w:rPr>
          <w:rFonts w:ascii="Arial" w:hAnsi="Arial" w:cs="Arial"/>
        </w:rPr>
        <w:t xml:space="preserve">The Schools of Earth and Environment and Geography each has a space policy which is available to </w:t>
      </w:r>
      <w:r w:rsidR="009F5B7A" w:rsidRPr="00EF09B7">
        <w:rPr>
          <w:rFonts w:ascii="Arial" w:hAnsi="Arial" w:cs="Arial"/>
        </w:rPr>
        <w:t>all staff and PGRs on the School intranet pages</w:t>
      </w:r>
      <w:r w:rsidRPr="00EF09B7">
        <w:rPr>
          <w:rFonts w:ascii="Arial" w:hAnsi="Arial" w:cs="Arial"/>
        </w:rPr>
        <w:t>:</w:t>
      </w:r>
    </w:p>
    <w:p w:rsidR="009F5B7A" w:rsidRPr="00EF09B7" w:rsidRDefault="009F5B7A" w:rsidP="00C6243F">
      <w:pPr>
        <w:jc w:val="both"/>
        <w:rPr>
          <w:rFonts w:ascii="Arial" w:hAnsi="Arial" w:cs="Arial"/>
        </w:rPr>
      </w:pPr>
    </w:p>
    <w:p w:rsidR="00B01034" w:rsidRPr="00EF09B7" w:rsidRDefault="009735BD" w:rsidP="009F5B7A">
      <w:pPr>
        <w:pStyle w:val="ListParagraph"/>
        <w:numPr>
          <w:ilvl w:val="0"/>
          <w:numId w:val="3"/>
        </w:numPr>
        <w:jc w:val="both"/>
        <w:rPr>
          <w:rFonts w:ascii="Arial" w:hAnsi="Arial" w:cs="Arial"/>
          <w:sz w:val="20"/>
          <w:szCs w:val="20"/>
        </w:rPr>
      </w:pPr>
      <w:hyperlink r:id="rId10" w:history="1">
        <w:r w:rsidR="009F5B7A" w:rsidRPr="00EF09B7">
          <w:rPr>
            <w:rStyle w:val="Hyperlink"/>
            <w:rFonts w:ascii="Arial" w:hAnsi="Arial" w:cs="Arial"/>
            <w:color w:val="auto"/>
            <w:sz w:val="20"/>
            <w:szCs w:val="20"/>
          </w:rPr>
          <w:t>http://www.see.leeds.ac.uk/fileadmin/Documents/PGR/WorkspacePolicy_PGR_SEE_2014.pdf</w:t>
        </w:r>
      </w:hyperlink>
    </w:p>
    <w:p w:rsidR="009F5B7A" w:rsidRPr="00EF09B7" w:rsidRDefault="009735BD" w:rsidP="009F5B7A">
      <w:pPr>
        <w:pStyle w:val="ListParagraph"/>
        <w:numPr>
          <w:ilvl w:val="0"/>
          <w:numId w:val="3"/>
        </w:numPr>
        <w:rPr>
          <w:rFonts w:ascii="Arial" w:hAnsi="Arial" w:cs="Arial"/>
          <w:sz w:val="20"/>
          <w:szCs w:val="20"/>
        </w:rPr>
      </w:pPr>
      <w:hyperlink r:id="rId11" w:history="1">
        <w:r w:rsidR="009F5B7A" w:rsidRPr="00EF09B7">
          <w:rPr>
            <w:rStyle w:val="Hyperlink"/>
            <w:rFonts w:ascii="Arial" w:hAnsi="Arial" w:cs="Arial"/>
            <w:color w:val="auto"/>
            <w:sz w:val="20"/>
            <w:szCs w:val="20"/>
          </w:rPr>
          <w:t>http://www.geog.leeds.ac.uk/fileadmin/documents/internal/Office_accommodation___space_allocation_in_School_of_Geography_March_2016_Final.pdf</w:t>
        </w:r>
      </w:hyperlink>
    </w:p>
    <w:p w:rsidR="009F5B7A" w:rsidRPr="00EF09B7" w:rsidRDefault="009F5B7A" w:rsidP="00C6243F">
      <w:pPr>
        <w:jc w:val="both"/>
        <w:rPr>
          <w:rFonts w:ascii="Arial" w:hAnsi="Arial" w:cs="Arial"/>
          <w:sz w:val="20"/>
          <w:szCs w:val="20"/>
        </w:rPr>
      </w:pPr>
    </w:p>
    <w:p w:rsidR="009F5B7A" w:rsidRPr="00EF09B7" w:rsidRDefault="009F5B7A" w:rsidP="00C6243F">
      <w:pPr>
        <w:jc w:val="both"/>
        <w:rPr>
          <w:rFonts w:ascii="Arial" w:hAnsi="Arial" w:cs="Arial"/>
        </w:rPr>
      </w:pPr>
      <w:r w:rsidRPr="00EF09B7">
        <w:rPr>
          <w:rFonts w:ascii="Arial" w:hAnsi="Arial" w:cs="Arial"/>
        </w:rPr>
        <w:t>All three departments use the ‘starters’ database on which new PGRs are entered as soon as their funding is confirmed and this is used for space planning purposes.</w:t>
      </w:r>
    </w:p>
    <w:p w:rsidR="009F5B7A" w:rsidRPr="00EF09B7" w:rsidRDefault="009F5B7A" w:rsidP="00C6243F">
      <w:pPr>
        <w:jc w:val="both"/>
        <w:rPr>
          <w:rFonts w:ascii="Arial" w:hAnsi="Arial" w:cs="Arial"/>
        </w:rPr>
      </w:pPr>
    </w:p>
    <w:p w:rsidR="00C6243F" w:rsidRPr="00EF09B7" w:rsidRDefault="009F5B7A" w:rsidP="009F5B7A">
      <w:pPr>
        <w:jc w:val="both"/>
        <w:rPr>
          <w:rFonts w:cs="Arial"/>
          <w:b/>
          <w:bCs/>
          <w:sz w:val="28"/>
          <w:szCs w:val="28"/>
        </w:rPr>
      </w:pPr>
      <w:r w:rsidRPr="00EF09B7">
        <w:rPr>
          <w:rFonts w:ascii="Arial" w:hAnsi="Arial" w:cs="Arial"/>
        </w:rPr>
        <w:t>This document will be reviewed at the beginning of each academic year.</w:t>
      </w:r>
    </w:p>
    <w:sectPr w:rsidR="00C6243F" w:rsidRPr="00EF09B7" w:rsidSect="009F5B7A">
      <w:footerReference w:type="default" r:id="rId12"/>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35" w:rsidRDefault="00685135">
      <w:r>
        <w:separator/>
      </w:r>
    </w:p>
  </w:endnote>
  <w:endnote w:type="continuationSeparator" w:id="0">
    <w:p w:rsidR="00685135" w:rsidRDefault="0068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3F" w:rsidRPr="00DF11C0" w:rsidRDefault="00DF11C0" w:rsidP="00C6243F">
    <w:pPr>
      <w:pStyle w:val="Footer"/>
      <w:jc w:val="right"/>
      <w:rPr>
        <w:rFonts w:asciiTheme="minorHAnsi" w:hAnsiTheme="minorHAnsi"/>
        <w:i/>
      </w:rPr>
    </w:pPr>
    <w:r w:rsidRPr="00DF11C0">
      <w:rPr>
        <w:rFonts w:asciiTheme="minorHAnsi" w:hAnsiTheme="minorHAnsi"/>
        <w:i/>
      </w:rPr>
      <w:t>Faculty of Environment</w:t>
    </w:r>
    <w:r>
      <w:rPr>
        <w:rFonts w:asciiTheme="minorHAnsi" w:hAnsiTheme="minorHAnsi"/>
        <w:i/>
      </w:rPr>
      <w:t xml:space="preserve"> </w:t>
    </w:r>
    <w:r w:rsidRPr="00DF11C0">
      <w:rPr>
        <w:rFonts w:asciiTheme="minorHAnsi" w:hAnsiTheme="minorHAnsi"/>
        <w:i/>
      </w:rPr>
      <w:t>Graduate School</w:t>
    </w:r>
  </w:p>
  <w:p w:rsidR="00DF11C0" w:rsidRPr="00DF11C0" w:rsidRDefault="00DF11C0" w:rsidP="00C6243F">
    <w:pPr>
      <w:pStyle w:val="Footer"/>
      <w:jc w:val="right"/>
      <w:rPr>
        <w:rFonts w:asciiTheme="minorHAnsi" w:hAnsiTheme="minorHAnsi"/>
        <w:i/>
      </w:rPr>
    </w:pPr>
    <w:r w:rsidRPr="00DF11C0">
      <w:rPr>
        <w:rFonts w:asciiTheme="minorHAnsi" w:hAnsiTheme="minorHAnsi"/>
        <w:i/>
      </w:rPr>
      <w:t>February 2017</w:t>
    </w:r>
  </w:p>
  <w:p w:rsidR="00C6243F" w:rsidRDefault="00C62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35" w:rsidRDefault="00685135">
      <w:r>
        <w:separator/>
      </w:r>
    </w:p>
  </w:footnote>
  <w:footnote w:type="continuationSeparator" w:id="0">
    <w:p w:rsidR="00685135" w:rsidRDefault="00685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70E9"/>
    <w:multiLevelType w:val="hybridMultilevel"/>
    <w:tmpl w:val="DEB68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7207A4"/>
    <w:multiLevelType w:val="hybridMultilevel"/>
    <w:tmpl w:val="C3286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3300C"/>
    <w:multiLevelType w:val="hybridMultilevel"/>
    <w:tmpl w:val="103AE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134216"/>
    <w:multiLevelType w:val="hybridMultilevel"/>
    <w:tmpl w:val="31D4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F6BC8"/>
    <w:multiLevelType w:val="hybridMultilevel"/>
    <w:tmpl w:val="506E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D64E3"/>
    <w:multiLevelType w:val="hybridMultilevel"/>
    <w:tmpl w:val="42F89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4D"/>
    <w:rsid w:val="000170D1"/>
    <w:rsid w:val="00030B26"/>
    <w:rsid w:val="0005293A"/>
    <w:rsid w:val="000A02E2"/>
    <w:rsid w:val="000A5817"/>
    <w:rsid w:val="000E4CCF"/>
    <w:rsid w:val="00133B1F"/>
    <w:rsid w:val="00285EF2"/>
    <w:rsid w:val="002F1206"/>
    <w:rsid w:val="00317C3E"/>
    <w:rsid w:val="0032204B"/>
    <w:rsid w:val="00333374"/>
    <w:rsid w:val="00395293"/>
    <w:rsid w:val="003E2D38"/>
    <w:rsid w:val="003E6CB8"/>
    <w:rsid w:val="00406235"/>
    <w:rsid w:val="00467B41"/>
    <w:rsid w:val="004B2F75"/>
    <w:rsid w:val="0054387E"/>
    <w:rsid w:val="00561FF8"/>
    <w:rsid w:val="00592591"/>
    <w:rsid w:val="005D5A29"/>
    <w:rsid w:val="005F5E0D"/>
    <w:rsid w:val="0060642A"/>
    <w:rsid w:val="00607892"/>
    <w:rsid w:val="0063110D"/>
    <w:rsid w:val="00640F58"/>
    <w:rsid w:val="00675642"/>
    <w:rsid w:val="00685135"/>
    <w:rsid w:val="006A3E1C"/>
    <w:rsid w:val="006C77F1"/>
    <w:rsid w:val="00735254"/>
    <w:rsid w:val="00772772"/>
    <w:rsid w:val="007831A4"/>
    <w:rsid w:val="00836487"/>
    <w:rsid w:val="00857DC7"/>
    <w:rsid w:val="00882D54"/>
    <w:rsid w:val="008C0D93"/>
    <w:rsid w:val="00941461"/>
    <w:rsid w:val="0094583B"/>
    <w:rsid w:val="009735BD"/>
    <w:rsid w:val="009C1A50"/>
    <w:rsid w:val="009F2FC1"/>
    <w:rsid w:val="009F5B7A"/>
    <w:rsid w:val="00AC004B"/>
    <w:rsid w:val="00AD10D9"/>
    <w:rsid w:val="00B01034"/>
    <w:rsid w:val="00B4293B"/>
    <w:rsid w:val="00B62B61"/>
    <w:rsid w:val="00B77A72"/>
    <w:rsid w:val="00B8668D"/>
    <w:rsid w:val="00BA313A"/>
    <w:rsid w:val="00BC6BE2"/>
    <w:rsid w:val="00BD741B"/>
    <w:rsid w:val="00BE60B4"/>
    <w:rsid w:val="00C57538"/>
    <w:rsid w:val="00C6243F"/>
    <w:rsid w:val="00CA732D"/>
    <w:rsid w:val="00CA78EB"/>
    <w:rsid w:val="00CC14F3"/>
    <w:rsid w:val="00CC6B6C"/>
    <w:rsid w:val="00D30E1C"/>
    <w:rsid w:val="00D624DA"/>
    <w:rsid w:val="00D7429F"/>
    <w:rsid w:val="00D90AD0"/>
    <w:rsid w:val="00DD72D4"/>
    <w:rsid w:val="00DF11C0"/>
    <w:rsid w:val="00E02B74"/>
    <w:rsid w:val="00E2634D"/>
    <w:rsid w:val="00EB3BC1"/>
    <w:rsid w:val="00EF09B7"/>
    <w:rsid w:val="00EF7926"/>
    <w:rsid w:val="00EF7D06"/>
    <w:rsid w:val="00F0321F"/>
    <w:rsid w:val="00F33075"/>
    <w:rsid w:val="00F42FB0"/>
    <w:rsid w:val="00F60D2F"/>
    <w:rsid w:val="00FA6DAF"/>
    <w:rsid w:val="00FE1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687E633-6BE6-42C4-B9A2-F274EECD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B7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E02B74"/>
    <w:pPr>
      <w:autoSpaceDE w:val="0"/>
      <w:autoSpaceDN w:val="0"/>
      <w:adjustRightInd w:val="0"/>
    </w:pPr>
    <w:rPr>
      <w:rFonts w:ascii="Arial" w:hAnsi="Arial"/>
      <w:lang w:val="en-US" w:eastAsia="en-US"/>
    </w:rPr>
  </w:style>
  <w:style w:type="paragraph" w:styleId="Header">
    <w:name w:val="header"/>
    <w:basedOn w:val="Normal"/>
    <w:rsid w:val="00E02B74"/>
    <w:pPr>
      <w:tabs>
        <w:tab w:val="center" w:pos="4153"/>
        <w:tab w:val="right" w:pos="8306"/>
      </w:tabs>
    </w:pPr>
  </w:style>
  <w:style w:type="paragraph" w:styleId="Footer">
    <w:name w:val="footer"/>
    <w:basedOn w:val="Normal"/>
    <w:link w:val="FooterChar"/>
    <w:uiPriority w:val="99"/>
    <w:rsid w:val="00E02B74"/>
    <w:pPr>
      <w:tabs>
        <w:tab w:val="center" w:pos="4153"/>
        <w:tab w:val="right" w:pos="8306"/>
      </w:tabs>
    </w:pPr>
  </w:style>
  <w:style w:type="table" w:styleId="TableGrid">
    <w:name w:val="Table Grid"/>
    <w:basedOn w:val="TableNormal"/>
    <w:uiPriority w:val="59"/>
    <w:rsid w:val="00F3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7538"/>
    <w:rPr>
      <w:rFonts w:ascii="Consolas" w:hAnsi="Consolas"/>
      <w:sz w:val="21"/>
      <w:szCs w:val="21"/>
      <w:lang w:eastAsia="en-GB"/>
    </w:rPr>
  </w:style>
  <w:style w:type="character" w:customStyle="1" w:styleId="PlainTextChar">
    <w:name w:val="Plain Text Char"/>
    <w:link w:val="PlainText"/>
    <w:uiPriority w:val="99"/>
    <w:rsid w:val="00C57538"/>
    <w:rPr>
      <w:rFonts w:ascii="Consolas" w:hAnsi="Consolas"/>
      <w:sz w:val="21"/>
      <w:szCs w:val="21"/>
    </w:rPr>
  </w:style>
  <w:style w:type="paragraph" w:styleId="BalloonText">
    <w:name w:val="Balloon Text"/>
    <w:basedOn w:val="Normal"/>
    <w:link w:val="BalloonTextChar"/>
    <w:rsid w:val="00B77A72"/>
    <w:rPr>
      <w:rFonts w:ascii="Tahoma" w:hAnsi="Tahoma" w:cs="Tahoma"/>
      <w:sz w:val="16"/>
      <w:szCs w:val="16"/>
    </w:rPr>
  </w:style>
  <w:style w:type="character" w:customStyle="1" w:styleId="BalloonTextChar">
    <w:name w:val="Balloon Text Char"/>
    <w:link w:val="BalloonText"/>
    <w:rsid w:val="00B77A72"/>
    <w:rPr>
      <w:rFonts w:ascii="Tahoma" w:hAnsi="Tahoma" w:cs="Tahoma"/>
      <w:sz w:val="16"/>
      <w:szCs w:val="16"/>
      <w:lang w:eastAsia="en-US"/>
    </w:rPr>
  </w:style>
  <w:style w:type="paragraph" w:styleId="ListParagraph">
    <w:name w:val="List Paragraph"/>
    <w:basedOn w:val="Normal"/>
    <w:uiPriority w:val="34"/>
    <w:qFormat/>
    <w:rsid w:val="00C6243F"/>
    <w:pPr>
      <w:ind w:left="720"/>
      <w:contextualSpacing/>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C6243F"/>
    <w:rPr>
      <w:sz w:val="24"/>
      <w:szCs w:val="24"/>
      <w:lang w:eastAsia="en-US"/>
    </w:rPr>
  </w:style>
  <w:style w:type="character" w:styleId="Hyperlink">
    <w:name w:val="Hyperlink"/>
    <w:basedOn w:val="DefaultParagraphFont"/>
    <w:unhideWhenUsed/>
    <w:rsid w:val="009F5B7A"/>
    <w:rPr>
      <w:color w:val="0000FF" w:themeColor="hyperlink"/>
      <w:u w:val="single"/>
    </w:rPr>
  </w:style>
  <w:style w:type="character" w:styleId="FollowedHyperlink">
    <w:name w:val="FollowedHyperlink"/>
    <w:basedOn w:val="DefaultParagraphFont"/>
    <w:semiHidden/>
    <w:unhideWhenUsed/>
    <w:rsid w:val="00F0321F"/>
    <w:rPr>
      <w:color w:val="800080" w:themeColor="followedHyperlink"/>
      <w:u w:val="single"/>
    </w:rPr>
  </w:style>
  <w:style w:type="character" w:styleId="CommentReference">
    <w:name w:val="annotation reference"/>
    <w:basedOn w:val="DefaultParagraphFont"/>
    <w:uiPriority w:val="99"/>
    <w:semiHidden/>
    <w:unhideWhenUsed/>
    <w:rsid w:val="00EF09B7"/>
    <w:rPr>
      <w:sz w:val="16"/>
      <w:szCs w:val="16"/>
    </w:rPr>
  </w:style>
  <w:style w:type="paragraph" w:styleId="CommentText">
    <w:name w:val="annotation text"/>
    <w:basedOn w:val="Normal"/>
    <w:link w:val="CommentTextChar"/>
    <w:uiPriority w:val="99"/>
    <w:semiHidden/>
    <w:unhideWhenUsed/>
    <w:rsid w:val="00EF09B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09B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5986">
      <w:bodyDiv w:val="1"/>
      <w:marLeft w:val="0"/>
      <w:marRight w:val="0"/>
      <w:marTop w:val="0"/>
      <w:marBottom w:val="0"/>
      <w:divBdr>
        <w:top w:val="none" w:sz="0" w:space="0" w:color="auto"/>
        <w:left w:val="none" w:sz="0" w:space="0" w:color="auto"/>
        <w:bottom w:val="none" w:sz="0" w:space="0" w:color="auto"/>
        <w:right w:val="none" w:sz="0" w:space="0" w:color="auto"/>
      </w:divBdr>
    </w:div>
    <w:div w:id="948973600">
      <w:bodyDiv w:val="1"/>
      <w:marLeft w:val="0"/>
      <w:marRight w:val="0"/>
      <w:marTop w:val="0"/>
      <w:marBottom w:val="0"/>
      <w:divBdr>
        <w:top w:val="none" w:sz="0" w:space="0" w:color="auto"/>
        <w:left w:val="none" w:sz="0" w:space="0" w:color="auto"/>
        <w:bottom w:val="none" w:sz="0" w:space="0" w:color="auto"/>
        <w:right w:val="none" w:sz="0" w:space="0" w:color="auto"/>
      </w:divBdr>
    </w:div>
    <w:div w:id="1679431078">
      <w:bodyDiv w:val="1"/>
      <w:marLeft w:val="0"/>
      <w:marRight w:val="0"/>
      <w:marTop w:val="0"/>
      <w:marBottom w:val="0"/>
      <w:divBdr>
        <w:top w:val="none" w:sz="0" w:space="0" w:color="auto"/>
        <w:left w:val="none" w:sz="0" w:space="0" w:color="auto"/>
        <w:bottom w:val="none" w:sz="0" w:space="0" w:color="auto"/>
        <w:right w:val="none" w:sz="0" w:space="0" w:color="auto"/>
      </w:divBdr>
    </w:div>
    <w:div w:id="1814982469">
      <w:bodyDiv w:val="1"/>
      <w:marLeft w:val="0"/>
      <w:marRight w:val="0"/>
      <w:marTop w:val="0"/>
      <w:marBottom w:val="0"/>
      <w:divBdr>
        <w:top w:val="none" w:sz="0" w:space="0" w:color="auto"/>
        <w:left w:val="none" w:sz="0" w:space="0" w:color="auto"/>
        <w:bottom w:val="none" w:sz="0" w:space="0" w:color="auto"/>
        <w:right w:val="none" w:sz="0" w:space="0" w:color="auto"/>
      </w:divBdr>
    </w:div>
    <w:div w:id="18312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g.leeds.ac.uk/fileadmin/documents/internal/Office_accommodation___space_allocation_in_School_of_Geography_March_2016_Final.pdf" TargetMode="External"/><Relationship Id="rId5" Type="http://schemas.openxmlformats.org/officeDocument/2006/relationships/footnotes" Target="footnotes.xml"/><Relationship Id="rId10" Type="http://schemas.openxmlformats.org/officeDocument/2006/relationships/hyperlink" Target="http://www.see.leeds.ac.uk/fileadmin/Documents/PGR/WorkspacePolicy_PGR_SEE_2014.pdf" TargetMode="External"/><Relationship Id="rId4" Type="http://schemas.openxmlformats.org/officeDocument/2006/relationships/webSettings" Target="webSettings.xml"/><Relationship Id="rId9" Type="http://schemas.openxmlformats.org/officeDocument/2006/relationships/hyperlink" Target="http://www.see.leeds.ac.uk/fileadmin/Documents/PGR/Guidelines_for_supervisors_re_PGR_supervision_number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1087</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Research Support Group</vt:lpstr>
    </vt:vector>
  </TitlesOfParts>
  <Company>University of Leeds</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Support Group</dc:title>
  <dc:creator>School of the Environment</dc:creator>
  <cp:lastModifiedBy>Michelle Lesnianski</cp:lastModifiedBy>
  <cp:revision>4</cp:revision>
  <cp:lastPrinted>2016-06-02T08:22:00Z</cp:lastPrinted>
  <dcterms:created xsi:type="dcterms:W3CDTF">2017-02-14T14:22:00Z</dcterms:created>
  <dcterms:modified xsi:type="dcterms:W3CDTF">2017-02-14T14:27:00Z</dcterms:modified>
</cp:coreProperties>
</file>