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072F0" w14:textId="77777777" w:rsidR="00881DCE" w:rsidRDefault="00132146" w:rsidP="00881DCE">
      <w:pPr>
        <w:spacing w:after="0" w:line="240" w:lineRule="auto"/>
        <w:jc w:val="center"/>
        <w:rPr>
          <w:rFonts w:cs="Arial"/>
          <w:b/>
          <w:bCs/>
          <w:sz w:val="28"/>
          <w:szCs w:val="28"/>
        </w:rPr>
      </w:pPr>
      <w:r w:rsidRPr="00132146">
        <w:rPr>
          <w:rFonts w:ascii="Calibri" w:hAnsi="Calibri"/>
          <w:noProof/>
          <w:lang w:val="en-GB" w:eastAsia="en-GB" w:bidi="ar-SA"/>
        </w:rPr>
        <mc:AlternateContent>
          <mc:Choice Requires="wps">
            <w:drawing>
              <wp:anchor distT="45720" distB="45720" distL="114300" distR="114300" simplePos="0" relativeHeight="251659264" behindDoc="0" locked="0" layoutInCell="1" allowOverlap="1" wp14:anchorId="62F536DB" wp14:editId="74464978">
                <wp:simplePos x="0" y="0"/>
                <wp:positionH relativeFrom="column">
                  <wp:posOffset>-323850</wp:posOffset>
                </wp:positionH>
                <wp:positionV relativeFrom="paragraph">
                  <wp:posOffset>114300</wp:posOffset>
                </wp:positionV>
                <wp:extent cx="340995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685800"/>
                        </a:xfrm>
                        <a:prstGeom prst="rect">
                          <a:avLst/>
                        </a:prstGeom>
                        <a:solidFill>
                          <a:srgbClr val="FFFFFF"/>
                        </a:solidFill>
                        <a:ln w="9525">
                          <a:noFill/>
                          <a:miter lim="800000"/>
                          <a:headEnd/>
                          <a:tailEnd/>
                        </a:ln>
                      </wps:spPr>
                      <wps:txbx>
                        <w:txbxContent>
                          <w:p w14:paraId="4F458AAA" w14:textId="77777777" w:rsidR="00DD1788" w:rsidRPr="00333374" w:rsidRDefault="00DD1788" w:rsidP="00132146">
                            <w:pPr>
                              <w:rPr>
                                <w:rFonts w:ascii="Calibri" w:hAnsi="Calibri"/>
                              </w:rPr>
                            </w:pPr>
                            <w:r w:rsidRPr="00333374">
                              <w:rPr>
                                <w:rFonts w:ascii="Calibri" w:hAnsi="Calibri"/>
                              </w:rPr>
                              <w:t>FACULTY OF ENVIRONMENT</w:t>
                            </w:r>
                          </w:p>
                          <w:p w14:paraId="39E5863B" w14:textId="77777777" w:rsidR="00DD1788" w:rsidRDefault="00DD1788" w:rsidP="00132146">
                            <w:pPr>
                              <w:rPr>
                                <w:rFonts w:ascii="Arial" w:hAnsi="Arial"/>
                                <w:b/>
                                <w:sz w:val="28"/>
                                <w:szCs w:val="28"/>
                              </w:rPr>
                            </w:pPr>
                            <w:r>
                              <w:rPr>
                                <w:rFonts w:ascii="Arial" w:hAnsi="Arial"/>
                                <w:b/>
                                <w:sz w:val="28"/>
                                <w:szCs w:val="28"/>
                              </w:rPr>
                              <w:t>School of Earth and Environment</w:t>
                            </w:r>
                          </w:p>
                          <w:p w14:paraId="355B638B" w14:textId="77777777" w:rsidR="00DD1788" w:rsidRDefault="00DD17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F536DB" id="_x0000_t202" coordsize="21600,21600" o:spt="202" path="m,l,21600r21600,l21600,xe">
                <v:stroke joinstyle="miter"/>
                <v:path gradientshapeok="t" o:connecttype="rect"/>
              </v:shapetype>
              <v:shape id="Text Box 2" o:spid="_x0000_s1026" type="#_x0000_t202" style="position:absolute;left:0;text-align:left;margin-left:-25.5pt;margin-top:9pt;width:268.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" stroked="f">
                <v:textbox>
                  <w:txbxContent>
                    <w:p w14:paraId="4F458AAA" w14:textId="77777777" w:rsidR="00DD1788" w:rsidRPr="00333374" w:rsidRDefault="00DD1788" w:rsidP="00132146">
                      <w:pPr>
                        <w:rPr>
                          <w:rFonts w:ascii="Calibri" w:hAnsi="Calibri"/>
                        </w:rPr>
                      </w:pPr>
                      <w:r w:rsidRPr="00333374">
                        <w:rPr>
                          <w:rFonts w:ascii="Calibri" w:hAnsi="Calibri"/>
                        </w:rPr>
                        <w:t>FACULTY OF ENVIRONMENT</w:t>
                      </w:r>
                    </w:p>
                    <w:p w14:paraId="39E5863B" w14:textId="77777777" w:rsidR="00DD1788" w:rsidRDefault="00DD1788" w:rsidP="00132146">
                      <w:pPr>
                        <w:rPr>
                          <w:rFonts w:ascii="Arial" w:hAnsi="Arial"/>
                          <w:b/>
                          <w:sz w:val="28"/>
                          <w:szCs w:val="28"/>
                        </w:rPr>
                      </w:pPr>
                      <w:r>
                        <w:rPr>
                          <w:rFonts w:ascii="Arial" w:hAnsi="Arial"/>
                          <w:b/>
                          <w:sz w:val="28"/>
                          <w:szCs w:val="28"/>
                        </w:rPr>
                        <w:t>School of Earth and Environment</w:t>
                      </w:r>
                    </w:p>
                    <w:p w14:paraId="355B638B" w14:textId="77777777" w:rsidR="00DD1788" w:rsidRDefault="00DD1788"/>
                  </w:txbxContent>
                </v:textbox>
                <w10:wrap type="square"/>
              </v:shape>
            </w:pict>
          </mc:Fallback>
        </mc:AlternateContent>
      </w:r>
      <w:r>
        <w:rPr>
          <w:rFonts w:ascii="Times New Roman" w:hAnsi="Times New Roman"/>
          <w:b/>
          <w:noProof/>
          <w:sz w:val="28"/>
          <w:lang w:val="en-GB" w:eastAsia="en-GB" w:bidi="ar-SA"/>
        </w:rPr>
        <w:drawing>
          <wp:inline distT="0" distB="0" distL="0" distR="0" wp14:anchorId="477D7F99" wp14:editId="3494E5ED">
            <wp:extent cx="2370455" cy="695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70455" cy="695960"/>
                    </a:xfrm>
                    <a:prstGeom prst="rect">
                      <a:avLst/>
                    </a:prstGeom>
                    <a:noFill/>
                    <a:ln w="9525">
                      <a:noFill/>
                      <a:miter lim="800000"/>
                      <a:headEnd/>
                      <a:tailEnd/>
                    </a:ln>
                  </pic:spPr>
                </pic:pic>
              </a:graphicData>
            </a:graphic>
          </wp:inline>
        </w:drawing>
      </w:r>
    </w:p>
    <w:p w14:paraId="19764FEF" w14:textId="77777777" w:rsidR="00132146" w:rsidRDefault="00132146" w:rsidP="00881DCE">
      <w:pPr>
        <w:spacing w:after="0" w:line="240" w:lineRule="auto"/>
        <w:jc w:val="center"/>
        <w:rPr>
          <w:b/>
          <w:sz w:val="36"/>
          <w:szCs w:val="36"/>
        </w:rPr>
      </w:pPr>
    </w:p>
    <w:p w14:paraId="6AE54948" w14:textId="77777777" w:rsidR="00881DCE" w:rsidRPr="00A778F6" w:rsidRDefault="00881DCE" w:rsidP="00881DCE">
      <w:pPr>
        <w:spacing w:after="0" w:line="240" w:lineRule="auto"/>
        <w:jc w:val="center"/>
        <w:rPr>
          <w:b/>
          <w:sz w:val="36"/>
          <w:szCs w:val="36"/>
        </w:rPr>
      </w:pPr>
      <w:r w:rsidRPr="00A778F6">
        <w:rPr>
          <w:b/>
          <w:sz w:val="36"/>
          <w:szCs w:val="36"/>
        </w:rPr>
        <w:t>The PhD Transfer/Upgrade Process and Viva</w:t>
      </w:r>
    </w:p>
    <w:p w14:paraId="7939379A" w14:textId="44CC68D3" w:rsidR="00881DCE" w:rsidRPr="00A778F6" w:rsidRDefault="00881DCE" w:rsidP="00881DCE">
      <w:pPr>
        <w:spacing w:after="0" w:line="240" w:lineRule="auto"/>
        <w:jc w:val="center"/>
        <w:rPr>
          <w:b/>
          <w:i/>
          <w:sz w:val="32"/>
          <w:szCs w:val="32"/>
        </w:rPr>
      </w:pPr>
      <w:r w:rsidRPr="00A778F6">
        <w:rPr>
          <w:b/>
          <w:i/>
          <w:sz w:val="32"/>
          <w:szCs w:val="32"/>
        </w:rPr>
        <w:t xml:space="preserve">Guidance for Staff and </w:t>
      </w:r>
      <w:r w:rsidR="00403546">
        <w:rPr>
          <w:b/>
          <w:i/>
          <w:sz w:val="32"/>
          <w:szCs w:val="32"/>
        </w:rPr>
        <w:t xml:space="preserve">Postgraduate </w:t>
      </w:r>
      <w:r>
        <w:rPr>
          <w:b/>
          <w:i/>
          <w:sz w:val="32"/>
          <w:szCs w:val="32"/>
        </w:rPr>
        <w:t>Researchers</w:t>
      </w:r>
      <w:r w:rsidR="00403546">
        <w:rPr>
          <w:b/>
          <w:i/>
          <w:sz w:val="32"/>
          <w:szCs w:val="32"/>
        </w:rPr>
        <w:t xml:space="preserve"> (PhD)</w:t>
      </w:r>
    </w:p>
    <w:p w14:paraId="2317173E" w14:textId="77777777" w:rsidR="00881DCE" w:rsidRPr="00A778F6" w:rsidRDefault="00881DCE" w:rsidP="00881DCE">
      <w:pPr>
        <w:spacing w:after="0" w:line="240" w:lineRule="auto"/>
        <w:jc w:val="center"/>
        <w:rPr>
          <w:b/>
          <w:sz w:val="32"/>
          <w:szCs w:val="32"/>
        </w:rPr>
      </w:pPr>
    </w:p>
    <w:p w14:paraId="47E36896" w14:textId="77777777" w:rsidR="00881DCE" w:rsidRPr="003B14FE" w:rsidRDefault="00881DCE" w:rsidP="00881DCE">
      <w:pPr>
        <w:spacing w:after="0" w:line="240" w:lineRule="auto"/>
        <w:rPr>
          <w:b/>
        </w:rPr>
      </w:pPr>
      <w:r w:rsidRPr="003B14FE">
        <w:rPr>
          <w:b/>
        </w:rPr>
        <w:t>INTRODUCTION</w:t>
      </w:r>
    </w:p>
    <w:p w14:paraId="7A300BC5" w14:textId="77777777" w:rsidR="00881DCE" w:rsidRDefault="00881DCE" w:rsidP="00881DCE">
      <w:pPr>
        <w:pStyle w:val="ListParagraph"/>
        <w:spacing w:after="0" w:line="240" w:lineRule="auto"/>
        <w:ind w:left="426"/>
      </w:pPr>
    </w:p>
    <w:p w14:paraId="20407722" w14:textId="3F024FF1" w:rsidR="00881DCE" w:rsidRDefault="00881DCE" w:rsidP="00881DCE">
      <w:pPr>
        <w:pStyle w:val="ListParagraph"/>
        <w:numPr>
          <w:ilvl w:val="0"/>
          <w:numId w:val="1"/>
        </w:numPr>
        <w:spacing w:after="0" w:line="240" w:lineRule="auto"/>
        <w:ind w:left="426" w:hanging="426"/>
      </w:pPr>
      <w:r>
        <w:t xml:space="preserve">The transfer process and </w:t>
      </w:r>
      <w:r w:rsidRPr="00B328D8">
        <w:rPr>
          <w:i/>
        </w:rPr>
        <w:t>viva</w:t>
      </w:r>
      <w:r w:rsidR="00E74D7C" w:rsidRPr="00B328D8">
        <w:rPr>
          <w:i/>
        </w:rPr>
        <w:t xml:space="preserve"> voce</w:t>
      </w:r>
      <w:r w:rsidR="00E74D7C">
        <w:t xml:space="preserve"> examination</w:t>
      </w:r>
      <w:r>
        <w:t xml:space="preserve"> is a critical stage in any PhD researcher’s study. It determines </w:t>
      </w:r>
      <w:r w:rsidR="0036779B">
        <w:t>whether or not a PGR</w:t>
      </w:r>
      <w:r>
        <w:t xml:space="preserve"> has shown sufficient ability, dedication, and drive to have an excellent chance of completing and successfully defending their PhD thesis within the normal timeframe allowed for full or part time study.</w:t>
      </w:r>
    </w:p>
    <w:p w14:paraId="642722D9" w14:textId="77777777" w:rsidR="00881DCE" w:rsidRDefault="00881DCE" w:rsidP="00881DCE">
      <w:pPr>
        <w:pStyle w:val="ListParagraph"/>
        <w:spacing w:after="0" w:line="240" w:lineRule="auto"/>
        <w:ind w:left="426" w:hanging="426"/>
      </w:pPr>
    </w:p>
    <w:p w14:paraId="4C70D452" w14:textId="6151DA98" w:rsidR="00881DCE" w:rsidRDefault="00881DCE" w:rsidP="00881DCE">
      <w:pPr>
        <w:pStyle w:val="ListParagraph"/>
        <w:numPr>
          <w:ilvl w:val="0"/>
          <w:numId w:val="1"/>
        </w:numPr>
        <w:spacing w:after="0" w:line="240" w:lineRule="auto"/>
        <w:ind w:left="426" w:hanging="426"/>
      </w:pPr>
      <w:r>
        <w:t xml:space="preserve">The quality </w:t>
      </w:r>
      <w:r w:rsidR="00DD1788">
        <w:t>bar, which provisional PhD researchers have to reach,</w:t>
      </w:r>
      <w:r>
        <w:t xml:space="preserve"> must be clearly communicated to </w:t>
      </w:r>
      <w:r w:rsidR="00403546">
        <w:t>the candidate</w:t>
      </w:r>
      <w:r>
        <w:t xml:space="preserve"> by the supervisory panel and it should be strictly enforced.  </w:t>
      </w:r>
      <w:r w:rsidR="00BE642E">
        <w:t>Candidates who do not show sufficient research potential will not be permitted to progress</w:t>
      </w:r>
      <w:r>
        <w:t xml:space="preserve"> beyond this stage.</w:t>
      </w:r>
    </w:p>
    <w:p w14:paraId="1F8E2070" w14:textId="77777777" w:rsidR="00881DCE" w:rsidRDefault="00881DCE" w:rsidP="00881DCE">
      <w:pPr>
        <w:pStyle w:val="ListParagraph"/>
        <w:spacing w:after="0" w:line="240" w:lineRule="auto"/>
      </w:pPr>
    </w:p>
    <w:p w14:paraId="2A7F2994" w14:textId="77777777" w:rsidR="00881DCE" w:rsidRDefault="00881DCE" w:rsidP="00881DCE">
      <w:pPr>
        <w:pStyle w:val="ListParagraph"/>
        <w:numPr>
          <w:ilvl w:val="0"/>
          <w:numId w:val="1"/>
        </w:numPr>
        <w:spacing w:after="0" w:line="240" w:lineRule="auto"/>
        <w:ind w:left="426" w:hanging="426"/>
      </w:pPr>
      <w:r>
        <w:t xml:space="preserve">The date for the transfer viva should be agreed </w:t>
      </w:r>
      <w:r w:rsidR="00BE642E">
        <w:t>at the First Formal Progress Meeting (6 months for full-time and 9 months for part-time study)</w:t>
      </w:r>
      <w:r>
        <w:t>.</w:t>
      </w:r>
    </w:p>
    <w:p w14:paraId="6B6AD1C7" w14:textId="77777777" w:rsidR="00881DCE" w:rsidRDefault="00881DCE" w:rsidP="00881DCE">
      <w:pPr>
        <w:pStyle w:val="ListParagraph"/>
        <w:spacing w:after="0" w:line="240" w:lineRule="auto"/>
        <w:ind w:left="426" w:hanging="426"/>
      </w:pPr>
    </w:p>
    <w:p w14:paraId="7BFEB647" w14:textId="77777777" w:rsidR="00881DCE" w:rsidRDefault="00881DCE" w:rsidP="00881DCE">
      <w:pPr>
        <w:pStyle w:val="ListParagraph"/>
        <w:numPr>
          <w:ilvl w:val="0"/>
          <w:numId w:val="1"/>
        </w:numPr>
        <w:spacing w:after="0" w:line="240" w:lineRule="auto"/>
        <w:ind w:left="426" w:hanging="426"/>
      </w:pPr>
      <w:r>
        <w:t xml:space="preserve">The transfer process should </w:t>
      </w:r>
      <w:r>
        <w:rPr>
          <w:b/>
          <w:u w:val="single"/>
        </w:rPr>
        <w:t>BEGIN 9 MONTHS</w:t>
      </w:r>
      <w:r>
        <w:t xml:space="preserve"> after the</w:t>
      </w:r>
      <w:r w:rsidR="00BE642E">
        <w:t xml:space="preserve"> commencement of study for full-</w:t>
      </w:r>
      <w:r>
        <w:t>time</w:t>
      </w:r>
      <w:r w:rsidR="00BE642E">
        <w:t xml:space="preserve"> researchers (</w:t>
      </w:r>
      <w:r w:rsidR="00BE642E" w:rsidRPr="00B328D8">
        <w:rPr>
          <w:i/>
        </w:rPr>
        <w:t>pro rata</w:t>
      </w:r>
      <w:r w:rsidR="00BE642E">
        <w:t xml:space="preserve"> for part-</w:t>
      </w:r>
      <w:r>
        <w:t>time study).</w:t>
      </w:r>
    </w:p>
    <w:p w14:paraId="75A3ACB6" w14:textId="77777777" w:rsidR="00881DCE" w:rsidRDefault="00881DCE" w:rsidP="00881DCE">
      <w:pPr>
        <w:pStyle w:val="ListParagraph"/>
        <w:spacing w:after="0" w:line="240" w:lineRule="auto"/>
        <w:ind w:left="426" w:hanging="426"/>
      </w:pPr>
    </w:p>
    <w:p w14:paraId="2325CA1D" w14:textId="77777777" w:rsidR="00881DCE" w:rsidRDefault="00881DCE" w:rsidP="00881DCE">
      <w:pPr>
        <w:pStyle w:val="ListParagraph"/>
        <w:numPr>
          <w:ilvl w:val="0"/>
          <w:numId w:val="1"/>
        </w:numPr>
        <w:spacing w:after="0" w:line="240" w:lineRule="auto"/>
        <w:ind w:left="426" w:hanging="426"/>
      </w:pPr>
      <w:r>
        <w:t xml:space="preserve">It must be completed </w:t>
      </w:r>
      <w:r w:rsidRPr="00285A06">
        <w:rPr>
          <w:b/>
          <w:u w:val="single"/>
        </w:rPr>
        <w:t>WITHIN 12 MONTHS</w:t>
      </w:r>
      <w:r>
        <w:t xml:space="preserve"> of the</w:t>
      </w:r>
      <w:r w:rsidR="00BE642E">
        <w:t xml:space="preserve"> commencement of study for full-</w:t>
      </w:r>
      <w:r>
        <w:t>time researchers (</w:t>
      </w:r>
      <w:r w:rsidRPr="00B328D8">
        <w:rPr>
          <w:i/>
        </w:rPr>
        <w:t>pro rata</w:t>
      </w:r>
      <w:r>
        <w:t xml:space="preserve"> for part-time study).</w:t>
      </w:r>
    </w:p>
    <w:p w14:paraId="757796C7" w14:textId="77777777" w:rsidR="009868AB" w:rsidRDefault="009868AB" w:rsidP="00635629">
      <w:pPr>
        <w:spacing w:after="0" w:line="240" w:lineRule="auto"/>
      </w:pPr>
    </w:p>
    <w:p w14:paraId="300618C4" w14:textId="68005FB9" w:rsidR="009868AB" w:rsidRPr="00635629" w:rsidRDefault="009868AB" w:rsidP="009868AB">
      <w:pPr>
        <w:pStyle w:val="Default"/>
        <w:jc w:val="both"/>
        <w:rPr>
          <w:rFonts w:asciiTheme="minorHAnsi" w:hAnsiTheme="minorHAnsi"/>
          <w:sz w:val="20"/>
          <w:szCs w:val="20"/>
        </w:rPr>
      </w:pPr>
      <w:r w:rsidRPr="00635629">
        <w:rPr>
          <w:rFonts w:asciiTheme="minorHAnsi" w:hAnsiTheme="minorHAnsi"/>
          <w:sz w:val="20"/>
          <w:szCs w:val="20"/>
        </w:rPr>
        <w:t xml:space="preserve">The </w:t>
      </w:r>
      <w:r w:rsidR="00B328D8">
        <w:rPr>
          <w:rFonts w:asciiTheme="minorHAnsi" w:hAnsiTheme="minorHAnsi"/>
          <w:sz w:val="20"/>
          <w:szCs w:val="20"/>
        </w:rPr>
        <w:t>Leeds Doctoral College offers</w:t>
      </w:r>
      <w:r w:rsidRPr="00635629">
        <w:rPr>
          <w:rFonts w:asciiTheme="minorHAnsi" w:hAnsiTheme="minorHAnsi"/>
          <w:sz w:val="20"/>
          <w:szCs w:val="20"/>
        </w:rPr>
        <w:t xml:space="preserve"> training and development opportunities for PGRs. Full d</w:t>
      </w:r>
      <w:r w:rsidR="00557AAC">
        <w:rPr>
          <w:rFonts w:asciiTheme="minorHAnsi" w:hAnsiTheme="minorHAnsi"/>
          <w:sz w:val="20"/>
          <w:szCs w:val="20"/>
        </w:rPr>
        <w:t>etails are available on the OD&amp;PL</w:t>
      </w:r>
      <w:r w:rsidR="002D4D77">
        <w:rPr>
          <w:rFonts w:asciiTheme="minorHAnsi" w:hAnsiTheme="minorHAnsi"/>
          <w:sz w:val="20"/>
          <w:szCs w:val="20"/>
        </w:rPr>
        <w:t xml:space="preserve"> website (</w:t>
      </w:r>
      <w:hyperlink r:id="rId9" w:history="1">
        <w:r w:rsidR="002D4D77" w:rsidRPr="00283967">
          <w:rPr>
            <w:rStyle w:val="Hyperlink"/>
            <w:rFonts w:asciiTheme="minorHAnsi" w:hAnsiTheme="minorHAnsi"/>
            <w:sz w:val="20"/>
            <w:szCs w:val="20"/>
          </w:rPr>
          <w:t>https://peopledevelopment.leeds.ac.uk/services/postgraduate-research/</w:t>
        </w:r>
      </w:hyperlink>
      <w:r w:rsidR="002D4D77">
        <w:rPr>
          <w:rFonts w:asciiTheme="minorHAnsi" w:hAnsiTheme="minorHAnsi"/>
          <w:sz w:val="20"/>
          <w:szCs w:val="20"/>
        </w:rPr>
        <w:t xml:space="preserve">). </w:t>
      </w:r>
    </w:p>
    <w:p w14:paraId="61863A4D" w14:textId="77777777" w:rsidR="009868AB" w:rsidRDefault="009868AB" w:rsidP="00635629">
      <w:pPr>
        <w:pStyle w:val="ListParagraph"/>
        <w:spacing w:after="0" w:line="240" w:lineRule="auto"/>
        <w:ind w:left="426"/>
      </w:pPr>
    </w:p>
    <w:p w14:paraId="30BC8DC2" w14:textId="77777777" w:rsidR="00681E4B" w:rsidRDefault="00681E4B" w:rsidP="00881DCE">
      <w:pPr>
        <w:spacing w:after="0" w:line="240" w:lineRule="auto"/>
      </w:pPr>
    </w:p>
    <w:p w14:paraId="4C971654" w14:textId="77777777" w:rsidR="00881DCE" w:rsidRDefault="00881DCE" w:rsidP="00881DCE">
      <w:pPr>
        <w:spacing w:after="0" w:line="240" w:lineRule="auto"/>
        <w:rPr>
          <w:b/>
        </w:rPr>
      </w:pPr>
      <w:r>
        <w:rPr>
          <w:b/>
        </w:rPr>
        <w:t>RESPONSIBILITIES</w:t>
      </w:r>
    </w:p>
    <w:p w14:paraId="5B407FF6" w14:textId="77777777" w:rsidR="00681E4B" w:rsidRPr="003B14FE" w:rsidRDefault="00681E4B" w:rsidP="00881DCE">
      <w:pPr>
        <w:spacing w:after="0" w:line="240" w:lineRule="auto"/>
        <w:rPr>
          <w:b/>
        </w:rPr>
      </w:pPr>
    </w:p>
    <w:p w14:paraId="5479EC57" w14:textId="77777777" w:rsidR="00881DCE" w:rsidRDefault="00881DCE" w:rsidP="00DD1788">
      <w:pPr>
        <w:spacing w:after="120" w:line="240" w:lineRule="auto"/>
      </w:pPr>
      <w:r>
        <w:t xml:space="preserve">The </w:t>
      </w:r>
      <w:r>
        <w:rPr>
          <w:u w:val="single"/>
        </w:rPr>
        <w:t>Postgraduate Researcher</w:t>
      </w:r>
      <w:r>
        <w:t xml:space="preserve"> must:</w:t>
      </w:r>
    </w:p>
    <w:p w14:paraId="646C95A1" w14:textId="77777777" w:rsidR="00881DCE" w:rsidRDefault="00881DCE" w:rsidP="00881DCE">
      <w:pPr>
        <w:pStyle w:val="ListParagraph"/>
        <w:numPr>
          <w:ilvl w:val="0"/>
          <w:numId w:val="2"/>
        </w:numPr>
        <w:spacing w:after="0" w:line="240" w:lineRule="auto"/>
        <w:ind w:left="426" w:hanging="426"/>
      </w:pPr>
      <w:r>
        <w:t>have given a talk on their PhD topic to their Institute prior to their transfer viva;</w:t>
      </w:r>
    </w:p>
    <w:p w14:paraId="34B51B07" w14:textId="564AD81F" w:rsidR="00881DCE" w:rsidRDefault="00881DCE" w:rsidP="00881DCE">
      <w:pPr>
        <w:pStyle w:val="ListParagraph"/>
        <w:numPr>
          <w:ilvl w:val="0"/>
          <w:numId w:val="2"/>
        </w:numPr>
        <w:spacing w:after="0" w:line="240" w:lineRule="auto"/>
        <w:ind w:left="426" w:hanging="426"/>
      </w:pPr>
      <w:proofErr w:type="gramStart"/>
      <w:r>
        <w:t>have</w:t>
      </w:r>
      <w:proofErr w:type="gramEnd"/>
      <w:r>
        <w:t xml:space="preserve"> submitted a report or a draft of a manuscript/submitted/published paper which clearly demonstrates progress to date.  This material must exclusively be a product of the research being conducted by the researcher as part of their PhD. No other material is permissible. The report/manuscript should</w:t>
      </w:r>
      <w:r w:rsidR="00BE642E">
        <w:t xml:space="preserve"> be submitted on GRAD </w:t>
      </w:r>
      <w:r w:rsidR="00B328D8">
        <w:t>f</w:t>
      </w:r>
      <w:r>
        <w:t>or access by</w:t>
      </w:r>
      <w:r w:rsidR="00E74D7C">
        <w:t xml:space="preserve"> the</w:t>
      </w:r>
      <w:r>
        <w:t xml:space="preserve"> full Transfer Panel </w:t>
      </w:r>
      <w:r w:rsidR="0036779B">
        <w:t xml:space="preserve">at least </w:t>
      </w:r>
      <w:r>
        <w:t>2 weeks prior to the date of the viva. The ‘Statement of Academic Integrity’ form</w:t>
      </w:r>
      <w:r w:rsidR="00A34E7C">
        <w:t>s part of this submission and confirms that the research</w:t>
      </w:r>
      <w:r w:rsidR="002D4D77">
        <w:t xml:space="preserve"> has been undertaken</w:t>
      </w:r>
      <w:r>
        <w:t xml:space="preserve"> by the researcher;</w:t>
      </w:r>
    </w:p>
    <w:p w14:paraId="22DAB7B5" w14:textId="77777777" w:rsidR="00881DCE" w:rsidRDefault="00881DCE" w:rsidP="00881DCE">
      <w:pPr>
        <w:pStyle w:val="ListParagraph"/>
        <w:numPr>
          <w:ilvl w:val="0"/>
          <w:numId w:val="2"/>
        </w:numPr>
        <w:spacing w:after="0" w:line="240" w:lineRule="auto"/>
        <w:ind w:left="426" w:hanging="426"/>
      </w:pPr>
      <w:r>
        <w:t>provide a list of training undertaken so far and requirements for the future;</w:t>
      </w:r>
    </w:p>
    <w:p w14:paraId="3BC65E44" w14:textId="77777777" w:rsidR="00881DCE" w:rsidRDefault="00881DCE" w:rsidP="00881DCE">
      <w:pPr>
        <w:pStyle w:val="ListParagraph"/>
        <w:numPr>
          <w:ilvl w:val="0"/>
          <w:numId w:val="2"/>
        </w:numPr>
        <w:spacing w:after="0" w:line="240" w:lineRule="auto"/>
        <w:ind w:left="426" w:hanging="426"/>
      </w:pPr>
      <w:r>
        <w:t>provide a publication plan;</w:t>
      </w:r>
    </w:p>
    <w:p w14:paraId="30BE6FB9" w14:textId="5F0007E8" w:rsidR="009868AB" w:rsidRDefault="009868AB" w:rsidP="00881DCE">
      <w:pPr>
        <w:pStyle w:val="ListParagraph"/>
        <w:numPr>
          <w:ilvl w:val="0"/>
          <w:numId w:val="2"/>
        </w:numPr>
        <w:spacing w:after="0" w:line="240" w:lineRule="auto"/>
        <w:ind w:left="426" w:hanging="426"/>
      </w:pPr>
      <w:r>
        <w:t xml:space="preserve">provide a planned schedule for completion of the thesis within </w:t>
      </w:r>
      <w:r w:rsidR="002D4D77">
        <w:t>the standard period of study (</w:t>
      </w:r>
      <w:proofErr w:type="spellStart"/>
      <w:r w:rsidR="002D4D77">
        <w:t>eg</w:t>
      </w:r>
      <w:proofErr w:type="spellEnd"/>
      <w:r w:rsidR="002D4D77">
        <w:t>,</w:t>
      </w:r>
      <w:r>
        <w:t xml:space="preserve"> by using a Gantt chart)</w:t>
      </w:r>
    </w:p>
    <w:p w14:paraId="441B236E" w14:textId="77777777" w:rsidR="00881DCE" w:rsidRDefault="00881DCE" w:rsidP="00881DCE">
      <w:pPr>
        <w:pStyle w:val="ListParagraph"/>
        <w:numPr>
          <w:ilvl w:val="0"/>
          <w:numId w:val="2"/>
        </w:numPr>
        <w:spacing w:after="0" w:line="240" w:lineRule="auto"/>
        <w:ind w:left="426" w:hanging="426"/>
      </w:pPr>
      <w:proofErr w:type="gramStart"/>
      <w:r>
        <w:t>attend</w:t>
      </w:r>
      <w:proofErr w:type="gramEnd"/>
      <w:r>
        <w:t xml:space="preserve"> the viva.</w:t>
      </w:r>
    </w:p>
    <w:p w14:paraId="602B0CCC" w14:textId="77777777" w:rsidR="00881DCE" w:rsidRDefault="00881DCE" w:rsidP="00881DCE">
      <w:pPr>
        <w:pStyle w:val="ListParagraph"/>
        <w:spacing w:after="0" w:line="240" w:lineRule="auto"/>
        <w:ind w:left="426"/>
      </w:pPr>
    </w:p>
    <w:p w14:paraId="6E96E624" w14:textId="77777777" w:rsidR="00881DCE" w:rsidRDefault="00881DCE" w:rsidP="00DD1788">
      <w:pPr>
        <w:spacing w:after="120" w:line="240" w:lineRule="auto"/>
      </w:pPr>
      <w:r>
        <w:t xml:space="preserve">The </w:t>
      </w:r>
      <w:r w:rsidRPr="004748C9">
        <w:rPr>
          <w:u w:val="single"/>
        </w:rPr>
        <w:t>Supervisor</w:t>
      </w:r>
      <w:r>
        <w:t>(s) must:</w:t>
      </w:r>
    </w:p>
    <w:p w14:paraId="2E07F2D5" w14:textId="50A6B28B" w:rsidR="00881DCE" w:rsidRDefault="00881DCE" w:rsidP="00881DCE">
      <w:pPr>
        <w:pStyle w:val="ListParagraph"/>
        <w:numPr>
          <w:ilvl w:val="0"/>
          <w:numId w:val="3"/>
        </w:numPr>
        <w:spacing w:after="0" w:line="240" w:lineRule="auto"/>
        <w:ind w:left="357" w:hanging="357"/>
      </w:pPr>
      <w:r>
        <w:t xml:space="preserve">with reference to the outcomes of the </w:t>
      </w:r>
      <w:r w:rsidR="00BE642E">
        <w:t>First Formal Progress Meeting</w:t>
      </w:r>
      <w:r>
        <w:t xml:space="preserve"> (which should have documented the steps required to ensure a successful transfer), ensure</w:t>
      </w:r>
      <w:r w:rsidR="00DD1788">
        <w:t>,</w:t>
      </w:r>
      <w:r>
        <w:t xml:space="preserve"> </w:t>
      </w:r>
      <w:r w:rsidR="00283117">
        <w:t>before the viva itself</w:t>
      </w:r>
      <w:r w:rsidR="00DD1788">
        <w:t>,</w:t>
      </w:r>
      <w:r w:rsidR="00283117">
        <w:t xml:space="preserve"> </w:t>
      </w:r>
      <w:r>
        <w:t xml:space="preserve">that the researcher is clearly </w:t>
      </w:r>
      <w:r>
        <w:lastRenderedPageBreak/>
        <w:t xml:space="preserve">aware of what will be required of them </w:t>
      </w:r>
      <w:r w:rsidR="00283117">
        <w:t>in terms of demonstrating appropriate research progress</w:t>
      </w:r>
      <w:r>
        <w:t xml:space="preserve"> to</w:t>
      </w:r>
      <w:r w:rsidR="00283117">
        <w:t xml:space="preserve"> be transferred to full PhD candidate status past transfer</w:t>
      </w:r>
      <w:r>
        <w:t>;</w:t>
      </w:r>
    </w:p>
    <w:p w14:paraId="01FBA3AF" w14:textId="77777777" w:rsidR="00881DCE" w:rsidRDefault="00881DCE" w:rsidP="00881DCE">
      <w:pPr>
        <w:pStyle w:val="ListParagraph"/>
        <w:numPr>
          <w:ilvl w:val="0"/>
          <w:numId w:val="3"/>
        </w:numPr>
        <w:spacing w:after="0" w:line="240" w:lineRule="auto"/>
        <w:ind w:left="357" w:hanging="357"/>
      </w:pPr>
      <w:r>
        <w:t>ensure that as many Transfer Panel members as possible attend the researcher’s transfer talk;</w:t>
      </w:r>
    </w:p>
    <w:p w14:paraId="2DC31CEF" w14:textId="77777777" w:rsidR="00881DCE" w:rsidRDefault="00881DCE" w:rsidP="00881DCE">
      <w:pPr>
        <w:pStyle w:val="ListParagraph"/>
        <w:numPr>
          <w:ilvl w:val="0"/>
          <w:numId w:val="3"/>
        </w:numPr>
        <w:spacing w:after="0" w:line="240" w:lineRule="auto"/>
        <w:ind w:left="357" w:hanging="357"/>
      </w:pPr>
      <w:r>
        <w:t xml:space="preserve">read and comment on the researcher’s report or manuscript/paper </w:t>
      </w:r>
      <w:r w:rsidRPr="00635629">
        <w:rPr>
          <w:b/>
        </w:rPr>
        <w:t xml:space="preserve">prior </w:t>
      </w:r>
      <w:r>
        <w:t>to the viva;</w:t>
      </w:r>
    </w:p>
    <w:p w14:paraId="3139C4AF" w14:textId="25C111D4" w:rsidR="00881DCE" w:rsidRDefault="00881DCE" w:rsidP="00881DCE">
      <w:pPr>
        <w:pStyle w:val="ListParagraph"/>
        <w:numPr>
          <w:ilvl w:val="0"/>
          <w:numId w:val="3"/>
        </w:numPr>
        <w:spacing w:after="0" w:line="240" w:lineRule="auto"/>
        <w:ind w:left="357" w:hanging="357"/>
      </w:pPr>
      <w:proofErr w:type="gramStart"/>
      <w:r>
        <w:t>conduct</w:t>
      </w:r>
      <w:proofErr w:type="gramEnd"/>
      <w:r>
        <w:t xml:space="preserve"> a formal viva which is to be </w:t>
      </w:r>
      <w:r w:rsidR="00E74D7C">
        <w:t>c</w:t>
      </w:r>
      <w:r>
        <w:t>haired by a Transfer Chair and include</w:t>
      </w:r>
      <w:r w:rsidR="00A34E7C">
        <w:t>s</w:t>
      </w:r>
      <w:r>
        <w:t xml:space="preserve"> a Transfer Examin</w:t>
      </w:r>
      <w:r w:rsidR="00BE642E">
        <w:t>er</w:t>
      </w:r>
      <w:r>
        <w:t xml:space="preserve">. It is the </w:t>
      </w:r>
      <w:r w:rsidRPr="00711DD9">
        <w:rPr>
          <w:b/>
          <w:u w:val="single"/>
        </w:rPr>
        <w:t xml:space="preserve">Transfer </w:t>
      </w:r>
      <w:r w:rsidR="0036779B">
        <w:rPr>
          <w:b/>
          <w:u w:val="single"/>
        </w:rPr>
        <w:t>Chair</w:t>
      </w:r>
      <w:r w:rsidR="00A34E7C">
        <w:rPr>
          <w:b/>
          <w:u w:val="single"/>
        </w:rPr>
        <w:t xml:space="preserve"> and Transfer </w:t>
      </w:r>
      <w:r w:rsidRPr="00711DD9">
        <w:rPr>
          <w:b/>
          <w:u w:val="single"/>
        </w:rPr>
        <w:t>Examine</w:t>
      </w:r>
      <w:r>
        <w:rPr>
          <w:b/>
          <w:u w:val="single"/>
        </w:rPr>
        <w:t xml:space="preserve">r </w:t>
      </w:r>
      <w:r w:rsidRPr="00056CAB">
        <w:rPr>
          <w:b/>
          <w:u w:val="single"/>
        </w:rPr>
        <w:t xml:space="preserve">that makes the decision on whether a </w:t>
      </w:r>
      <w:r>
        <w:rPr>
          <w:b/>
          <w:u w:val="single"/>
        </w:rPr>
        <w:t>researcher</w:t>
      </w:r>
      <w:r w:rsidRPr="00056CAB">
        <w:rPr>
          <w:b/>
          <w:u w:val="single"/>
        </w:rPr>
        <w:t xml:space="preserve"> passes the viva</w:t>
      </w:r>
      <w:r>
        <w:rPr>
          <w:b/>
          <w:u w:val="single"/>
        </w:rPr>
        <w:t>,</w:t>
      </w:r>
      <w:r w:rsidRPr="00056CAB">
        <w:rPr>
          <w:b/>
          <w:u w:val="single"/>
        </w:rPr>
        <w:t xml:space="preserve"> not the supervisor(s)</w:t>
      </w:r>
      <w:r>
        <w:rPr>
          <w:b/>
          <w:u w:val="single"/>
        </w:rPr>
        <w:t>;</w:t>
      </w:r>
    </w:p>
    <w:p w14:paraId="103B3F79" w14:textId="77777777" w:rsidR="00881DCE" w:rsidRDefault="00881DCE" w:rsidP="00881DCE">
      <w:pPr>
        <w:pStyle w:val="ListParagraph"/>
        <w:numPr>
          <w:ilvl w:val="0"/>
          <w:numId w:val="3"/>
        </w:numPr>
        <w:spacing w:after="0" w:line="240" w:lineRule="auto"/>
        <w:ind w:left="357" w:hanging="357"/>
      </w:pPr>
      <w:r>
        <w:t>provide an opportunity for the researcher to discuss any issues around supervision or other complicating factors which may have a bearing on the outcome of the viva, confidentially, with the Transfer Chair, prior to the viva itself;</w:t>
      </w:r>
    </w:p>
    <w:p w14:paraId="4BFECCE3" w14:textId="35601C0B" w:rsidR="00881DCE" w:rsidRDefault="00144EE5" w:rsidP="00881DCE">
      <w:pPr>
        <w:pStyle w:val="ListParagraph"/>
        <w:numPr>
          <w:ilvl w:val="0"/>
          <w:numId w:val="3"/>
        </w:numPr>
        <w:spacing w:after="0" w:line="240" w:lineRule="auto"/>
        <w:ind w:left="357" w:hanging="357"/>
      </w:pPr>
      <w:proofErr w:type="gramStart"/>
      <w:r>
        <w:t>ensure</w:t>
      </w:r>
      <w:proofErr w:type="gramEnd"/>
      <w:r>
        <w:t xml:space="preserve"> that the </w:t>
      </w:r>
      <w:r w:rsidR="00BE642E">
        <w:t xml:space="preserve">Joint Report of the Transfer Panel </w:t>
      </w:r>
      <w:r w:rsidR="00881DCE">
        <w:t>form</w:t>
      </w:r>
      <w:r w:rsidR="00BF6D95">
        <w:t xml:space="preserve"> within GRAD</w:t>
      </w:r>
      <w:r>
        <w:t xml:space="preserve"> is completed and</w:t>
      </w:r>
      <w:r w:rsidR="00557AAC">
        <w:t xml:space="preserve"> submitted by the Transfer Chair</w:t>
      </w:r>
      <w:r w:rsidR="00881DCE">
        <w:t xml:space="preserve"> no later than 2 weeks after the viva has been held.</w:t>
      </w:r>
    </w:p>
    <w:p w14:paraId="090708B2" w14:textId="77777777" w:rsidR="00881DCE" w:rsidRDefault="00881DCE" w:rsidP="00881DCE">
      <w:pPr>
        <w:spacing w:after="0" w:line="240" w:lineRule="auto"/>
      </w:pPr>
    </w:p>
    <w:p w14:paraId="5DBC94F8" w14:textId="32478C37" w:rsidR="00E74D7C" w:rsidRPr="00635629" w:rsidRDefault="00E74D7C" w:rsidP="00DD1788">
      <w:pPr>
        <w:spacing w:after="120" w:line="240" w:lineRule="auto"/>
        <w:rPr>
          <w:b/>
        </w:rPr>
      </w:pPr>
      <w:r>
        <w:rPr>
          <w:b/>
        </w:rPr>
        <w:t>THE TRANSFER PANEL</w:t>
      </w:r>
    </w:p>
    <w:p w14:paraId="114A9B16" w14:textId="0F22DD33" w:rsidR="00ED6AEF" w:rsidRDefault="00ED6AEF" w:rsidP="00635629">
      <w:pPr>
        <w:pStyle w:val="ListParagraph"/>
        <w:numPr>
          <w:ilvl w:val="0"/>
          <w:numId w:val="12"/>
        </w:numPr>
        <w:spacing w:after="0" w:line="240" w:lineRule="auto"/>
        <w:ind w:left="426" w:hanging="426"/>
      </w:pPr>
      <w:r>
        <w:t xml:space="preserve">The </w:t>
      </w:r>
      <w:r w:rsidR="002D4D77">
        <w:t>transfer panel consists of a transfer chair and a transfer e</w:t>
      </w:r>
      <w:r>
        <w:t>xaminer that are independent of the supervisory group</w:t>
      </w:r>
      <w:r w:rsidR="00BF6D95">
        <w:t>.</w:t>
      </w:r>
    </w:p>
    <w:p w14:paraId="14825C92" w14:textId="0BD69CBC" w:rsidR="00ED6AEF" w:rsidRDefault="00ED6AEF" w:rsidP="00635629">
      <w:pPr>
        <w:pStyle w:val="ListParagraph"/>
        <w:numPr>
          <w:ilvl w:val="0"/>
          <w:numId w:val="12"/>
        </w:numPr>
        <w:spacing w:after="0" w:line="240" w:lineRule="auto"/>
        <w:ind w:left="426" w:hanging="426"/>
      </w:pPr>
      <w:r>
        <w:t>At least one examiner must be from a cognate subject area to the work under examination</w:t>
      </w:r>
      <w:r w:rsidR="00BF6D95">
        <w:t>.</w:t>
      </w:r>
      <w:r>
        <w:t xml:space="preserve"> </w:t>
      </w:r>
    </w:p>
    <w:p w14:paraId="5A33F3AD" w14:textId="545285A3" w:rsidR="00FB4835" w:rsidRDefault="00557AAC" w:rsidP="00635629">
      <w:pPr>
        <w:pStyle w:val="ListParagraph"/>
        <w:numPr>
          <w:ilvl w:val="0"/>
          <w:numId w:val="12"/>
        </w:numPr>
        <w:spacing w:after="0" w:line="240" w:lineRule="auto"/>
        <w:ind w:left="426" w:hanging="426"/>
      </w:pPr>
      <w:r>
        <w:t>Transfer panel</w:t>
      </w:r>
      <w:r w:rsidR="00FB4835">
        <w:t xml:space="preserve"> make</w:t>
      </w:r>
      <w:r w:rsidR="002D4D77">
        <w:t>s</w:t>
      </w:r>
      <w:r w:rsidR="00FB4835">
        <w:t xml:space="preserve"> the final decision on upgrading the candidate from provisional PhD candidate to PhD candidate</w:t>
      </w:r>
      <w:r w:rsidR="00BF6D95">
        <w:t>.</w:t>
      </w:r>
    </w:p>
    <w:p w14:paraId="01FA538D" w14:textId="5D4B0351" w:rsidR="00557AAC" w:rsidRPr="00A34E7C" w:rsidRDefault="00557AAC" w:rsidP="00635629">
      <w:pPr>
        <w:pStyle w:val="ListParagraph"/>
        <w:numPr>
          <w:ilvl w:val="0"/>
          <w:numId w:val="12"/>
        </w:numPr>
        <w:spacing w:after="0" w:line="240" w:lineRule="auto"/>
        <w:ind w:left="426" w:hanging="426"/>
      </w:pPr>
      <w:r w:rsidRPr="00A34E7C">
        <w:t xml:space="preserve">The transfer panel ensures that where there is a disability, </w:t>
      </w:r>
      <w:hyperlink r:id="rId10" w:history="1">
        <w:r w:rsidRPr="00A34E7C">
          <w:rPr>
            <w:rStyle w:val="Hyperlink"/>
          </w:rPr>
          <w:t>reasonable adjustments</w:t>
        </w:r>
      </w:hyperlink>
      <w:r w:rsidRPr="00A34E7C">
        <w:t xml:space="preserve"> are made.</w:t>
      </w:r>
    </w:p>
    <w:p w14:paraId="21CB20A1" w14:textId="49E9FF9C" w:rsidR="00557AAC" w:rsidRPr="002D4D77" w:rsidRDefault="00557AAC" w:rsidP="00635629">
      <w:pPr>
        <w:pStyle w:val="ListParagraph"/>
        <w:numPr>
          <w:ilvl w:val="0"/>
          <w:numId w:val="12"/>
        </w:numPr>
        <w:spacing w:after="0" w:line="240" w:lineRule="auto"/>
        <w:ind w:left="426" w:hanging="426"/>
      </w:pPr>
      <w:r w:rsidRPr="002D4D77">
        <w:t>The transfer panel provides the opportunity for the PGR to discuss their supervision without the supervisors present, and such discussion to include</w:t>
      </w:r>
      <w:r w:rsidR="00D10535" w:rsidRPr="002D4D77">
        <w:t xml:space="preserve"> the planned format of final PhD thesis to be submitted (</w:t>
      </w:r>
      <w:proofErr w:type="spellStart"/>
      <w:r w:rsidR="00D10535" w:rsidRPr="002D4D77">
        <w:t>eg</w:t>
      </w:r>
      <w:proofErr w:type="spellEnd"/>
      <w:r w:rsidR="00D10535" w:rsidRPr="002D4D77">
        <w:t>, Alternative Format or standard format)</w:t>
      </w:r>
      <w:r w:rsidR="002D4D77">
        <w:t>.</w:t>
      </w:r>
    </w:p>
    <w:p w14:paraId="3586D6F4" w14:textId="2D1D01D5" w:rsidR="00FB4835" w:rsidRDefault="00FB4835" w:rsidP="00635629">
      <w:pPr>
        <w:pStyle w:val="ListParagraph"/>
        <w:numPr>
          <w:ilvl w:val="0"/>
          <w:numId w:val="12"/>
        </w:numPr>
        <w:spacing w:after="0" w:line="240" w:lineRule="auto"/>
        <w:ind w:left="426" w:hanging="426"/>
      </w:pPr>
      <w:r>
        <w:t>Members of the supervisory team must attend the viva voce examination and are involve</w:t>
      </w:r>
      <w:r w:rsidR="00E74D7C">
        <w:t>d</w:t>
      </w:r>
      <w:r>
        <w:t xml:space="preserve"> in t</w:t>
      </w:r>
      <w:r w:rsidR="00E74D7C">
        <w:t>he discussions during the viva</w:t>
      </w:r>
      <w:r w:rsidR="00BF6D95">
        <w:t>.</w:t>
      </w:r>
    </w:p>
    <w:p w14:paraId="34E73C29" w14:textId="596CC204" w:rsidR="00ED6AEF" w:rsidRDefault="00FB4835" w:rsidP="00635629">
      <w:pPr>
        <w:pStyle w:val="ListParagraph"/>
        <w:numPr>
          <w:ilvl w:val="0"/>
          <w:numId w:val="12"/>
        </w:numPr>
        <w:spacing w:after="0" w:line="240" w:lineRule="auto"/>
        <w:ind w:left="426" w:hanging="426"/>
      </w:pPr>
      <w:r>
        <w:t>Supervisors are not involved in the decision</w:t>
      </w:r>
      <w:r w:rsidR="00BF6D95">
        <w:t>-</w:t>
      </w:r>
      <w:r>
        <w:t xml:space="preserve">making process of whether or not a candidate should be upgraded. This decision rests </w:t>
      </w:r>
      <w:r w:rsidR="00557AAC">
        <w:t>with the transfer panel</w:t>
      </w:r>
      <w:r>
        <w:t>.</w:t>
      </w:r>
    </w:p>
    <w:p w14:paraId="7E302041" w14:textId="1B98EE11" w:rsidR="00D21D62" w:rsidRDefault="00D21D62" w:rsidP="00635629">
      <w:pPr>
        <w:pStyle w:val="ListParagraph"/>
        <w:numPr>
          <w:ilvl w:val="0"/>
          <w:numId w:val="12"/>
        </w:numPr>
        <w:spacing w:after="0" w:line="240" w:lineRule="auto"/>
        <w:ind w:left="426" w:hanging="426"/>
      </w:pPr>
      <w:r>
        <w:t>The transfer panel uses the transfer report, the transfer talk and the transfer interview to come to a decision on the potential of the PGR and the research project to be successful at doctoral level.</w:t>
      </w:r>
    </w:p>
    <w:p w14:paraId="4DBE60EB" w14:textId="1EC83ABB" w:rsidR="00D21D62" w:rsidRDefault="00D21D62" w:rsidP="00635629">
      <w:pPr>
        <w:pStyle w:val="ListParagraph"/>
        <w:numPr>
          <w:ilvl w:val="0"/>
          <w:numId w:val="12"/>
        </w:numPr>
        <w:spacing w:after="0" w:line="240" w:lineRule="auto"/>
        <w:ind w:left="426" w:hanging="426"/>
      </w:pPr>
      <w:r>
        <w:t>The transfer chair leads the transfer examination and is fully involved in the decision</w:t>
      </w:r>
      <w:r w:rsidR="00BF6D95">
        <w:t>-</w:t>
      </w:r>
      <w:r>
        <w:t>making process</w:t>
      </w:r>
      <w:r w:rsidR="00BF6D95">
        <w:t>.</w:t>
      </w:r>
    </w:p>
    <w:p w14:paraId="2998F924" w14:textId="0303F1EE" w:rsidR="00D21D62" w:rsidRDefault="00D21D62" w:rsidP="00635629">
      <w:pPr>
        <w:pStyle w:val="ListParagraph"/>
        <w:numPr>
          <w:ilvl w:val="0"/>
          <w:numId w:val="12"/>
        </w:numPr>
        <w:spacing w:after="0" w:line="240" w:lineRule="auto"/>
        <w:ind w:left="426" w:hanging="426"/>
      </w:pPr>
      <w:r>
        <w:t xml:space="preserve">The transfer chair has to ensure that the transfer process is completed within the university guidelines. </w:t>
      </w:r>
    </w:p>
    <w:p w14:paraId="6962F5F3" w14:textId="77777777" w:rsidR="00ED6AEF" w:rsidRDefault="00ED6AEF" w:rsidP="00881DCE">
      <w:pPr>
        <w:spacing w:after="0" w:line="240" w:lineRule="auto"/>
      </w:pPr>
    </w:p>
    <w:p w14:paraId="6DE53B2D" w14:textId="77777777" w:rsidR="00881DCE" w:rsidRDefault="00881DCE" w:rsidP="00881DCE">
      <w:pPr>
        <w:spacing w:after="0" w:line="240" w:lineRule="auto"/>
        <w:rPr>
          <w:b/>
        </w:rPr>
      </w:pPr>
      <w:r w:rsidRPr="00AA4CCC">
        <w:rPr>
          <w:b/>
        </w:rPr>
        <w:t>THE TRANSFER REPORT</w:t>
      </w:r>
    </w:p>
    <w:p w14:paraId="0E1C1520" w14:textId="77777777" w:rsidR="00681E4B" w:rsidRPr="00AA4CCC" w:rsidRDefault="00681E4B" w:rsidP="00881DCE">
      <w:pPr>
        <w:spacing w:after="0" w:line="240" w:lineRule="auto"/>
        <w:rPr>
          <w:b/>
        </w:rPr>
      </w:pPr>
    </w:p>
    <w:p w14:paraId="07207119" w14:textId="68420A2B" w:rsidR="00DA445E" w:rsidRDefault="00144EE5" w:rsidP="00DD1788">
      <w:pPr>
        <w:spacing w:after="120" w:line="240" w:lineRule="auto"/>
      </w:pPr>
      <w:r>
        <w:t xml:space="preserve">The PhD researcher </w:t>
      </w:r>
      <w:r w:rsidR="00D21D62">
        <w:t xml:space="preserve">must </w:t>
      </w:r>
      <w:r>
        <w:t>write and submit a report which</w:t>
      </w:r>
      <w:r w:rsidR="00881DCE">
        <w:t>:</w:t>
      </w:r>
    </w:p>
    <w:p w14:paraId="029F8F26" w14:textId="77777777" w:rsidR="00881DCE" w:rsidRDefault="00144EE5" w:rsidP="00881DCE">
      <w:pPr>
        <w:pStyle w:val="ListParagraph"/>
        <w:numPr>
          <w:ilvl w:val="0"/>
          <w:numId w:val="4"/>
        </w:numPr>
        <w:spacing w:after="0" w:line="240" w:lineRule="auto"/>
        <w:ind w:left="414" w:hanging="357"/>
      </w:pPr>
      <w:r>
        <w:rPr>
          <w:b/>
        </w:rPr>
        <w:t xml:space="preserve">does </w:t>
      </w:r>
      <w:r w:rsidR="00881DCE" w:rsidRPr="00FF0079">
        <w:rPr>
          <w:b/>
        </w:rPr>
        <w:t>not exceed 5000 words</w:t>
      </w:r>
      <w:r w:rsidR="00881DCE">
        <w:t xml:space="preserve"> (excluding references, figure and table captions, abbreviations, contents pages and appendices);</w:t>
      </w:r>
    </w:p>
    <w:p w14:paraId="3E4347B9" w14:textId="77777777" w:rsidR="00881DCE" w:rsidRDefault="00881DCE" w:rsidP="00881DCE">
      <w:pPr>
        <w:pStyle w:val="ListParagraph"/>
        <w:numPr>
          <w:ilvl w:val="0"/>
          <w:numId w:val="4"/>
        </w:numPr>
        <w:spacing w:after="0" w:line="240" w:lineRule="auto"/>
        <w:ind w:left="414" w:hanging="357"/>
      </w:pPr>
      <w:r>
        <w:t>clearly state</w:t>
      </w:r>
      <w:r w:rsidR="00144EE5">
        <w:t>s</w:t>
      </w:r>
      <w:r>
        <w:t xml:space="preserve"> the </w:t>
      </w:r>
      <w:r w:rsidRPr="00FF0079">
        <w:rPr>
          <w:b/>
        </w:rPr>
        <w:t>rationale</w:t>
      </w:r>
      <w:r>
        <w:t xml:space="preserve"> for the work;</w:t>
      </w:r>
    </w:p>
    <w:p w14:paraId="3623506A" w14:textId="77777777" w:rsidR="00881DCE" w:rsidRDefault="00881DCE" w:rsidP="00881DCE">
      <w:pPr>
        <w:pStyle w:val="ListParagraph"/>
        <w:numPr>
          <w:ilvl w:val="0"/>
          <w:numId w:val="4"/>
        </w:numPr>
        <w:spacing w:after="0" w:line="240" w:lineRule="auto"/>
        <w:ind w:left="414" w:hanging="357"/>
      </w:pPr>
      <w:r>
        <w:t>succinctly and clearly state</w:t>
      </w:r>
      <w:r w:rsidR="00144EE5">
        <w:t>s</w:t>
      </w:r>
      <w:r>
        <w:t xml:space="preserve"> the </w:t>
      </w:r>
      <w:r w:rsidRPr="00FF0079">
        <w:rPr>
          <w:b/>
        </w:rPr>
        <w:t>specific aim and objectives</w:t>
      </w:r>
      <w:r>
        <w:t xml:space="preserve"> of the project;</w:t>
      </w:r>
    </w:p>
    <w:p w14:paraId="03D0B293" w14:textId="77777777" w:rsidR="00881DCE" w:rsidRDefault="00881DCE" w:rsidP="00881DCE">
      <w:pPr>
        <w:pStyle w:val="ListParagraph"/>
        <w:numPr>
          <w:ilvl w:val="0"/>
          <w:numId w:val="4"/>
        </w:numPr>
        <w:spacing w:after="0" w:line="240" w:lineRule="auto"/>
        <w:ind w:left="414" w:hanging="357"/>
      </w:pPr>
      <w:r>
        <w:t xml:space="preserve">for the project aim and objectives, clearly relate to a number of </w:t>
      </w:r>
      <w:r w:rsidRPr="00FF0079">
        <w:rPr>
          <w:b/>
        </w:rPr>
        <w:t>specific and testable hypotheses</w:t>
      </w:r>
      <w:r>
        <w:t>;</w:t>
      </w:r>
    </w:p>
    <w:p w14:paraId="785F707D" w14:textId="77777777" w:rsidR="00881DCE" w:rsidRDefault="00881DCE" w:rsidP="00881DCE">
      <w:pPr>
        <w:pStyle w:val="ListParagraph"/>
        <w:numPr>
          <w:ilvl w:val="0"/>
          <w:numId w:val="4"/>
        </w:numPr>
        <w:spacing w:after="0" w:line="240" w:lineRule="auto"/>
        <w:ind w:left="414" w:hanging="357"/>
      </w:pPr>
      <w:r>
        <w:t>provide</w:t>
      </w:r>
      <w:r w:rsidR="00144EE5">
        <w:t>s</w:t>
      </w:r>
      <w:r>
        <w:t xml:space="preserve"> a succinct summary of the </w:t>
      </w:r>
      <w:r w:rsidRPr="00FF0079">
        <w:rPr>
          <w:b/>
        </w:rPr>
        <w:t>relevant literature</w:t>
      </w:r>
      <w:r>
        <w:t xml:space="preserve"> and show</w:t>
      </w:r>
      <w:r w:rsidR="00144EE5">
        <w:t>s</w:t>
      </w:r>
      <w:r>
        <w:t xml:space="preserve"> evidence of critical ability in the assessment of previous work;</w:t>
      </w:r>
    </w:p>
    <w:p w14:paraId="006B695E" w14:textId="77777777" w:rsidR="00881DCE" w:rsidRDefault="00881DCE" w:rsidP="00881DCE">
      <w:pPr>
        <w:pStyle w:val="ListParagraph"/>
        <w:numPr>
          <w:ilvl w:val="0"/>
          <w:numId w:val="4"/>
        </w:numPr>
        <w:spacing w:after="0" w:line="240" w:lineRule="auto"/>
        <w:ind w:left="414" w:hanging="357"/>
      </w:pPr>
      <w:r>
        <w:t>document</w:t>
      </w:r>
      <w:r w:rsidR="00144EE5">
        <w:t>s</w:t>
      </w:r>
      <w:r>
        <w:t xml:space="preserve"> the </w:t>
      </w:r>
      <w:r w:rsidRPr="00FF0079">
        <w:rPr>
          <w:b/>
        </w:rPr>
        <w:t>methods</w:t>
      </w:r>
      <w:r>
        <w:t xml:space="preserve"> used or to be used in the project;</w:t>
      </w:r>
    </w:p>
    <w:p w14:paraId="33B5FBAA" w14:textId="77777777" w:rsidR="00881DCE" w:rsidRDefault="00881DCE" w:rsidP="00881DCE">
      <w:pPr>
        <w:pStyle w:val="ListParagraph"/>
        <w:numPr>
          <w:ilvl w:val="0"/>
          <w:numId w:val="4"/>
        </w:numPr>
        <w:spacing w:after="0" w:line="240" w:lineRule="auto"/>
        <w:ind w:left="414" w:hanging="357"/>
      </w:pPr>
      <w:r>
        <w:t>present</w:t>
      </w:r>
      <w:r w:rsidR="00144EE5">
        <w:t>s</w:t>
      </w:r>
      <w:r>
        <w:t xml:space="preserve"> the </w:t>
      </w:r>
      <w:r w:rsidRPr="00FF0079">
        <w:rPr>
          <w:b/>
        </w:rPr>
        <w:t>results</w:t>
      </w:r>
      <w:r>
        <w:t xml:space="preserve"> to date and summarize</w:t>
      </w:r>
      <w:r w:rsidR="00144EE5">
        <w:t>s</w:t>
      </w:r>
      <w:r>
        <w:t xml:space="preserve"> their significance and potential weaknesses;</w:t>
      </w:r>
    </w:p>
    <w:p w14:paraId="67846B4B" w14:textId="24E0ACBB" w:rsidR="00881DCE" w:rsidRDefault="00881DCE" w:rsidP="00881DCE">
      <w:pPr>
        <w:pStyle w:val="ListParagraph"/>
        <w:numPr>
          <w:ilvl w:val="0"/>
          <w:numId w:val="4"/>
        </w:numPr>
        <w:spacing w:after="0" w:line="240" w:lineRule="auto"/>
        <w:ind w:left="414" w:hanging="357"/>
      </w:pPr>
      <w:r w:rsidRPr="00FF0079">
        <w:rPr>
          <w:b/>
        </w:rPr>
        <w:t>outline</w:t>
      </w:r>
      <w:r w:rsidR="00144EE5">
        <w:rPr>
          <w:b/>
        </w:rPr>
        <w:t>s</w:t>
      </w:r>
      <w:r w:rsidRPr="00FF0079">
        <w:rPr>
          <w:b/>
        </w:rPr>
        <w:t xml:space="preserve"> a clear pathway</w:t>
      </w:r>
      <w:r>
        <w:t xml:space="preserve"> for the 2</w:t>
      </w:r>
      <w:r w:rsidRPr="00FF0079">
        <w:rPr>
          <w:vertAlign w:val="superscript"/>
        </w:rPr>
        <w:t>nd</w:t>
      </w:r>
      <w:r>
        <w:t xml:space="preserve"> year of study and beyond</w:t>
      </w:r>
      <w:r w:rsidR="009868AB">
        <w:t xml:space="preserve"> (as appendix)</w:t>
      </w:r>
      <w:r>
        <w:t>;</w:t>
      </w:r>
    </w:p>
    <w:p w14:paraId="5E150CF9" w14:textId="5A4F3E53" w:rsidR="00881DCE" w:rsidRDefault="00881DCE" w:rsidP="00881DCE">
      <w:pPr>
        <w:pStyle w:val="ListParagraph"/>
        <w:numPr>
          <w:ilvl w:val="0"/>
          <w:numId w:val="4"/>
        </w:numPr>
        <w:spacing w:after="0" w:line="240" w:lineRule="auto"/>
        <w:ind w:left="414" w:hanging="357"/>
      </w:pPr>
      <w:r>
        <w:t>include</w:t>
      </w:r>
      <w:r w:rsidR="00144EE5">
        <w:t>s</w:t>
      </w:r>
      <w:r>
        <w:t xml:space="preserve"> a </w:t>
      </w:r>
      <w:r w:rsidRPr="00FF0079">
        <w:rPr>
          <w:b/>
        </w:rPr>
        <w:t>publication plan</w:t>
      </w:r>
      <w:r w:rsidR="009868AB">
        <w:rPr>
          <w:b/>
        </w:rPr>
        <w:t xml:space="preserve"> </w:t>
      </w:r>
      <w:r w:rsidR="009868AB" w:rsidRPr="00635629">
        <w:t>(as appendix)</w:t>
      </w:r>
      <w:r w:rsidRPr="00BF6D95">
        <w:t>;</w:t>
      </w:r>
    </w:p>
    <w:p w14:paraId="689FA431" w14:textId="2D16DF6E" w:rsidR="00881DCE" w:rsidRDefault="00881DCE" w:rsidP="00881DCE">
      <w:pPr>
        <w:pStyle w:val="ListParagraph"/>
        <w:numPr>
          <w:ilvl w:val="0"/>
          <w:numId w:val="4"/>
        </w:numPr>
        <w:spacing w:after="0" w:line="240" w:lineRule="auto"/>
        <w:ind w:left="414" w:hanging="357"/>
      </w:pPr>
      <w:proofErr w:type="gramStart"/>
      <w:r>
        <w:t>include</w:t>
      </w:r>
      <w:r w:rsidR="00144EE5">
        <w:t>s</w:t>
      </w:r>
      <w:proofErr w:type="gramEnd"/>
      <w:r>
        <w:t xml:space="preserve"> a summary of </w:t>
      </w:r>
      <w:r w:rsidRPr="00FF0079">
        <w:rPr>
          <w:b/>
        </w:rPr>
        <w:t>training</w:t>
      </w:r>
      <w:r>
        <w:t xml:space="preserve"> undertaken and still required</w:t>
      </w:r>
      <w:r w:rsidR="009868AB">
        <w:t xml:space="preserve"> (as appendix)</w:t>
      </w:r>
      <w:r>
        <w:t>.</w:t>
      </w:r>
    </w:p>
    <w:p w14:paraId="4F6ACFAE" w14:textId="77777777" w:rsidR="00881DCE" w:rsidRDefault="00881DCE" w:rsidP="00881DCE">
      <w:pPr>
        <w:spacing w:after="0" w:line="240" w:lineRule="auto"/>
      </w:pPr>
    </w:p>
    <w:p w14:paraId="7E3700A3" w14:textId="7FDAC770" w:rsidR="00A93FE5" w:rsidRDefault="00A24DB4" w:rsidP="00881DCE">
      <w:pPr>
        <w:spacing w:after="0" w:line="240" w:lineRule="auto"/>
      </w:pPr>
      <w:r>
        <w:t>The transfer report must allow the transfer panel to judge the potential of the research to be successful on doctoral level within the standard period of study and must show the potential of the PGR for independent research work, critical ability</w:t>
      </w:r>
      <w:r w:rsidR="00BF6D95">
        <w:t>,</w:t>
      </w:r>
      <w:r>
        <w:t xml:space="preserve"> and an overall familiarity with the research topic.</w:t>
      </w:r>
    </w:p>
    <w:p w14:paraId="1F2063D4" w14:textId="77777777" w:rsidR="00A93FE5" w:rsidRDefault="00A93FE5" w:rsidP="00881DCE">
      <w:pPr>
        <w:spacing w:after="0" w:line="240" w:lineRule="auto"/>
      </w:pPr>
    </w:p>
    <w:p w14:paraId="4FAE24EB" w14:textId="4DBBFE4A" w:rsidR="00881DCE" w:rsidRDefault="00881DCE" w:rsidP="00881DCE">
      <w:pPr>
        <w:spacing w:after="0" w:line="240" w:lineRule="auto"/>
      </w:pPr>
      <w:r>
        <w:t xml:space="preserve">Set out above is the default </w:t>
      </w:r>
      <w:r w:rsidR="00283117">
        <w:t>format and content</w:t>
      </w:r>
      <w:r>
        <w:t xml:space="preserve"> for transfer reports.  If supervisors would like their researchers to prepare a report with a different format or length, the Primary Superviso</w:t>
      </w:r>
      <w:r w:rsidR="00B50B87">
        <w:t>r should make a case to the PGRD</w:t>
      </w:r>
      <w:r>
        <w:t xml:space="preserve">, immediately following the </w:t>
      </w:r>
      <w:r w:rsidR="00144EE5">
        <w:t>First Formal Progress Meeting</w:t>
      </w:r>
      <w:r>
        <w:t xml:space="preserve"> explaining th</w:t>
      </w:r>
      <w:r w:rsidR="00144EE5">
        <w:t>e reasoning for</w:t>
      </w:r>
      <w:r>
        <w:t xml:space="preserve"> this and seeking clearance, in advance of notifying the researcher</w:t>
      </w:r>
      <w:r w:rsidR="00144EE5">
        <w:t xml:space="preserve">, </w:t>
      </w:r>
      <w:r>
        <w:t>of a change in requirements.</w:t>
      </w:r>
    </w:p>
    <w:p w14:paraId="66CB3BFC" w14:textId="77777777" w:rsidR="00881DCE" w:rsidRDefault="00881DCE" w:rsidP="00881DCE">
      <w:pPr>
        <w:spacing w:after="0" w:line="240" w:lineRule="auto"/>
      </w:pPr>
    </w:p>
    <w:p w14:paraId="78358724" w14:textId="77777777" w:rsidR="00D21D62" w:rsidRDefault="00D21D62" w:rsidP="00881DCE">
      <w:pPr>
        <w:spacing w:after="0" w:line="240" w:lineRule="auto"/>
      </w:pPr>
    </w:p>
    <w:p w14:paraId="388E6A36" w14:textId="77777777" w:rsidR="00D21D62" w:rsidRDefault="00D21D62" w:rsidP="00881DCE">
      <w:pPr>
        <w:spacing w:after="0" w:line="240" w:lineRule="auto"/>
      </w:pPr>
    </w:p>
    <w:p w14:paraId="46CB7280" w14:textId="77777777" w:rsidR="00DD1788" w:rsidRDefault="00DD1788" w:rsidP="00881DCE">
      <w:pPr>
        <w:spacing w:after="0" w:line="240" w:lineRule="auto"/>
      </w:pPr>
    </w:p>
    <w:p w14:paraId="42D31846" w14:textId="22BCF2DF" w:rsidR="00FB4835" w:rsidRPr="00635629" w:rsidRDefault="00FB4835" w:rsidP="00881DCE">
      <w:pPr>
        <w:spacing w:after="0" w:line="240" w:lineRule="auto"/>
        <w:rPr>
          <w:b/>
        </w:rPr>
      </w:pPr>
      <w:r w:rsidRPr="00635629">
        <w:rPr>
          <w:b/>
        </w:rPr>
        <w:t xml:space="preserve">THE TRANSFER INTERVIEW (VIVA VOCE EXAMINATION) </w:t>
      </w:r>
    </w:p>
    <w:p w14:paraId="50C4A363" w14:textId="77777777" w:rsidR="00FB4835" w:rsidRDefault="00FB4835" w:rsidP="00881DCE">
      <w:pPr>
        <w:spacing w:after="0" w:line="240" w:lineRule="auto"/>
      </w:pPr>
    </w:p>
    <w:p w14:paraId="1DC932FA" w14:textId="2937EF40" w:rsidR="00881DCE" w:rsidRPr="00635629" w:rsidRDefault="00FB4835" w:rsidP="00635629">
      <w:pPr>
        <w:pStyle w:val="ListParagraph"/>
        <w:numPr>
          <w:ilvl w:val="0"/>
          <w:numId w:val="7"/>
        </w:numPr>
        <w:spacing w:after="0" w:line="240" w:lineRule="auto"/>
      </w:pPr>
      <w:r>
        <w:t xml:space="preserve">The proposed format of the viva voce examination is outlined in the </w:t>
      </w:r>
      <w:r w:rsidRPr="006054DD">
        <w:rPr>
          <w:b/>
        </w:rPr>
        <w:t>Guidelines on University Procedures and Recommended Best Practice for Members of a Transfer Panel</w:t>
      </w:r>
      <w:r>
        <w:rPr>
          <w:b/>
        </w:rPr>
        <w:t xml:space="preserve"> </w:t>
      </w:r>
      <w:r>
        <w:t xml:space="preserve">under </w:t>
      </w:r>
      <w:r w:rsidRPr="00635629">
        <w:rPr>
          <w:b/>
        </w:rPr>
        <w:t>Transfer Interview</w:t>
      </w:r>
    </w:p>
    <w:p w14:paraId="3693846B" w14:textId="47CAC40A" w:rsidR="00BF0B11" w:rsidRDefault="00FB4835" w:rsidP="00602971">
      <w:pPr>
        <w:pStyle w:val="ListParagraph"/>
        <w:numPr>
          <w:ilvl w:val="0"/>
          <w:numId w:val="7"/>
        </w:numPr>
        <w:spacing w:after="0" w:line="240" w:lineRule="auto"/>
        <w:jc w:val="left"/>
      </w:pPr>
      <w:r>
        <w:t xml:space="preserve">These guidelines are available </w:t>
      </w:r>
      <w:r w:rsidR="00602971">
        <w:t>at</w:t>
      </w:r>
      <w:r>
        <w:t xml:space="preserve"> </w:t>
      </w:r>
      <w:hyperlink r:id="rId11" w:history="1">
        <w:r w:rsidR="00602971" w:rsidRPr="00602971">
          <w:rPr>
            <w:rStyle w:val="Hyperlink"/>
            <w:sz w:val="14"/>
            <w:szCs w:val="14"/>
          </w:rPr>
          <w:t>http://ses.leeds.ac.uk/info/22172/research_degrees/1030/regulatio</w:t>
        </w:r>
        <w:r w:rsidR="00602971" w:rsidRPr="00602971">
          <w:rPr>
            <w:rStyle w:val="Hyperlink"/>
            <w:sz w:val="14"/>
            <w:szCs w:val="14"/>
          </w:rPr>
          <w:t>n</w:t>
        </w:r>
        <w:r w:rsidR="00602971" w:rsidRPr="00602971">
          <w:rPr>
            <w:rStyle w:val="Hyperlink"/>
            <w:sz w:val="14"/>
            <w:szCs w:val="14"/>
          </w:rPr>
          <w:t>s_</w:t>
        </w:r>
        <w:r w:rsidR="00602971" w:rsidRPr="00602971">
          <w:rPr>
            <w:rStyle w:val="Hyperlink"/>
            <w:sz w:val="14"/>
            <w:szCs w:val="14"/>
          </w:rPr>
          <w:t>c</w:t>
        </w:r>
        <w:r w:rsidR="00602971" w:rsidRPr="00602971">
          <w:rPr>
            <w:rStyle w:val="Hyperlink"/>
            <w:sz w:val="14"/>
            <w:szCs w:val="14"/>
          </w:rPr>
          <w:t>odes_policies_and_procedures_for_postgraduate_research</w:t>
        </w:r>
      </w:hyperlink>
      <w:r w:rsidR="00602971">
        <w:t xml:space="preserve"> </w:t>
      </w:r>
      <w:r w:rsidR="00DD1788">
        <w:t xml:space="preserve"> (under ‘</w:t>
      </w:r>
      <w:r w:rsidR="00945D67">
        <w:t>Progress and monitoring</w:t>
      </w:r>
      <w:r w:rsidR="00DD1788">
        <w:t xml:space="preserve">’). </w:t>
      </w:r>
    </w:p>
    <w:p w14:paraId="2F9EE57C" w14:textId="77777777" w:rsidR="00E74D7C" w:rsidRDefault="00E74D7C" w:rsidP="00635629">
      <w:pPr>
        <w:spacing w:after="0" w:line="240" w:lineRule="auto"/>
        <w:ind w:left="360"/>
      </w:pPr>
    </w:p>
    <w:p w14:paraId="000A289E" w14:textId="3E636C51" w:rsidR="00D2480D" w:rsidRPr="00635629" w:rsidRDefault="00FB4835" w:rsidP="00B203CC">
      <w:pPr>
        <w:spacing w:after="120" w:line="240" w:lineRule="auto"/>
        <w:rPr>
          <w:b/>
        </w:rPr>
      </w:pPr>
      <w:r w:rsidRPr="00635629">
        <w:rPr>
          <w:b/>
        </w:rPr>
        <w:t>UPGRADE DECISION</w:t>
      </w:r>
    </w:p>
    <w:p w14:paraId="4CAD3FCE" w14:textId="2D75A6B1" w:rsidR="00D2480D" w:rsidRPr="00635629" w:rsidRDefault="00D2480D" w:rsidP="00D2480D">
      <w:pPr>
        <w:pStyle w:val="Default"/>
        <w:jc w:val="both"/>
        <w:rPr>
          <w:rFonts w:asciiTheme="minorHAnsi" w:hAnsiTheme="minorHAnsi"/>
          <w:sz w:val="20"/>
          <w:szCs w:val="20"/>
        </w:rPr>
      </w:pPr>
      <w:r w:rsidRPr="00635629">
        <w:rPr>
          <w:rFonts w:asciiTheme="minorHAnsi" w:hAnsiTheme="minorHAnsi"/>
          <w:sz w:val="20"/>
          <w:szCs w:val="20"/>
        </w:rPr>
        <w:t xml:space="preserve">During the transfer process the transfer panel must be satisfied that the PGR and the research project have the potential for success at doctoral level and also whether completion of a thesis within the standard period of study for the </w:t>
      </w:r>
      <w:proofErr w:type="spellStart"/>
      <w:r w:rsidRPr="00635629">
        <w:rPr>
          <w:rFonts w:asciiTheme="minorHAnsi" w:hAnsiTheme="minorHAnsi"/>
          <w:sz w:val="20"/>
          <w:szCs w:val="20"/>
        </w:rPr>
        <w:t>programme</w:t>
      </w:r>
      <w:proofErr w:type="spellEnd"/>
      <w:r w:rsidRPr="00635629">
        <w:rPr>
          <w:rFonts w:asciiTheme="minorHAnsi" w:hAnsiTheme="minorHAnsi"/>
          <w:sz w:val="20"/>
          <w:szCs w:val="20"/>
        </w:rPr>
        <w:t xml:space="preserve"> concerned is a reasonable expectation. </w:t>
      </w:r>
    </w:p>
    <w:p w14:paraId="18A91E02" w14:textId="3BDC8D2F" w:rsidR="00D2480D" w:rsidRDefault="00D2480D" w:rsidP="00635629">
      <w:pPr>
        <w:spacing w:after="0" w:line="240" w:lineRule="auto"/>
      </w:pPr>
    </w:p>
    <w:p w14:paraId="68E832EF" w14:textId="468757AB" w:rsidR="00D2480D" w:rsidRDefault="00D2480D" w:rsidP="00635629">
      <w:pPr>
        <w:spacing w:after="0" w:line="240" w:lineRule="auto"/>
      </w:pPr>
      <w:r>
        <w:t>The transfer panel must base its decision on the transfer report, the transfer talk and the candidate’s performance during the viva. The recommendations that may be made by the transfer assessment panel are:</w:t>
      </w:r>
    </w:p>
    <w:p w14:paraId="513B284A" w14:textId="77777777" w:rsidR="00116B99" w:rsidRDefault="00116B99" w:rsidP="00635629">
      <w:pPr>
        <w:spacing w:after="0" w:line="240" w:lineRule="auto"/>
      </w:pPr>
    </w:p>
    <w:p w14:paraId="1A907597" w14:textId="77777777" w:rsidR="00D2480D" w:rsidRDefault="00D2480D" w:rsidP="00635629">
      <w:pPr>
        <w:pStyle w:val="ListParagraph"/>
        <w:numPr>
          <w:ilvl w:val="0"/>
          <w:numId w:val="10"/>
        </w:numPr>
        <w:spacing w:after="0" w:line="240" w:lineRule="auto"/>
      </w:pPr>
      <w:r w:rsidRPr="00D2480D">
        <w:t xml:space="preserve">In the case of Provisional candidatures for doctoral degrees or Postgraduate Research candidatures, </w:t>
      </w:r>
      <w:r w:rsidRPr="00635629">
        <w:rPr>
          <w:b/>
        </w:rPr>
        <w:t>transfer to doctoral registration</w:t>
      </w:r>
      <w:r w:rsidRPr="00D2480D">
        <w:t>;</w:t>
      </w:r>
    </w:p>
    <w:p w14:paraId="2789CB0D" w14:textId="39C718BB" w:rsidR="00D2480D" w:rsidRPr="00D2480D" w:rsidRDefault="00D2480D" w:rsidP="00635629">
      <w:pPr>
        <w:pStyle w:val="ListParagraph"/>
        <w:numPr>
          <w:ilvl w:val="0"/>
          <w:numId w:val="10"/>
        </w:numPr>
        <w:spacing w:after="0" w:line="240" w:lineRule="auto"/>
      </w:pPr>
      <w:r w:rsidRPr="00635629">
        <w:rPr>
          <w:rFonts w:cs="Arial"/>
        </w:rPr>
        <w:t xml:space="preserve">In the case of Provisional candidatures for the degree of PhD or Postgraduate Research candidatures, </w:t>
      </w:r>
      <w:r w:rsidR="00EF0875" w:rsidRPr="00BF6D95">
        <w:rPr>
          <w:rFonts w:cs="Arial"/>
          <w:b/>
        </w:rPr>
        <w:t>transfer to M</w:t>
      </w:r>
      <w:r w:rsidRPr="00635629">
        <w:rPr>
          <w:rFonts w:cs="Arial"/>
          <w:b/>
        </w:rPr>
        <w:t>Phil registration</w:t>
      </w:r>
      <w:r w:rsidR="00945D67">
        <w:rPr>
          <w:rFonts w:cs="Arial"/>
        </w:rPr>
        <w:t>;</w:t>
      </w:r>
    </w:p>
    <w:p w14:paraId="62902F3F" w14:textId="1E84E682" w:rsidR="00D2480D" w:rsidRDefault="00D2480D" w:rsidP="00635629">
      <w:pPr>
        <w:pStyle w:val="ListParagraph"/>
        <w:numPr>
          <w:ilvl w:val="0"/>
          <w:numId w:val="10"/>
        </w:numPr>
        <w:spacing w:after="0" w:line="240" w:lineRule="auto"/>
      </w:pPr>
      <w:r w:rsidRPr="00635629">
        <w:t xml:space="preserve">On the first occasion only that the work is assessed, </w:t>
      </w:r>
      <w:r w:rsidRPr="00635629">
        <w:rPr>
          <w:b/>
        </w:rPr>
        <w:t>deferment</w:t>
      </w:r>
      <w:r w:rsidRPr="00635629">
        <w:t xml:space="preserve"> of a decision about the transfer for a limited period to permit the work to</w:t>
      </w:r>
      <w:r w:rsidR="00945D67">
        <w:t xml:space="preserve"> be revised and then reassessed;</w:t>
      </w:r>
    </w:p>
    <w:p w14:paraId="0C6DA810" w14:textId="6B8BCC96" w:rsidR="00D2480D" w:rsidRPr="00635629" w:rsidRDefault="00D2480D" w:rsidP="00635629">
      <w:pPr>
        <w:pStyle w:val="ListParagraph"/>
        <w:numPr>
          <w:ilvl w:val="0"/>
          <w:numId w:val="10"/>
        </w:numPr>
        <w:spacing w:after="0" w:line="240" w:lineRule="auto"/>
      </w:pPr>
      <w:r w:rsidRPr="00635629">
        <w:t xml:space="preserve">A decision that the </w:t>
      </w:r>
      <w:r w:rsidR="00556CE5">
        <w:t>PGR</w:t>
      </w:r>
      <w:r w:rsidRPr="00635629">
        <w:t xml:space="preserve"> </w:t>
      </w:r>
      <w:r w:rsidRPr="00635629">
        <w:rPr>
          <w:b/>
        </w:rPr>
        <w:t>withdraw</w:t>
      </w:r>
      <w:r w:rsidRPr="00635629">
        <w:t xml:space="preserve"> from a research degree candidature</w:t>
      </w:r>
      <w:r w:rsidR="00945D67">
        <w:t>.</w:t>
      </w:r>
      <w:r w:rsidRPr="00635629">
        <w:t xml:space="preserve"> </w:t>
      </w:r>
    </w:p>
    <w:p w14:paraId="645E1ACC" w14:textId="77777777" w:rsidR="00D2480D" w:rsidRDefault="00D2480D" w:rsidP="00635629">
      <w:pPr>
        <w:spacing w:after="0" w:line="240" w:lineRule="auto"/>
      </w:pPr>
    </w:p>
    <w:p w14:paraId="146EF719" w14:textId="77777777" w:rsidR="00D2480D" w:rsidRPr="00635629" w:rsidRDefault="00D2480D" w:rsidP="00D2480D">
      <w:pPr>
        <w:pStyle w:val="Default"/>
        <w:jc w:val="both"/>
        <w:rPr>
          <w:rFonts w:asciiTheme="minorHAnsi" w:hAnsiTheme="minorHAnsi"/>
          <w:sz w:val="20"/>
          <w:szCs w:val="20"/>
        </w:rPr>
      </w:pPr>
      <w:r w:rsidRPr="00635629">
        <w:rPr>
          <w:rFonts w:asciiTheme="minorHAnsi" w:hAnsiTheme="minorHAnsi"/>
          <w:b/>
          <w:bCs/>
          <w:sz w:val="20"/>
          <w:szCs w:val="20"/>
        </w:rPr>
        <w:t xml:space="preserve">Please note that transfer to a Mastership by Research at this stage of a candidature is not permitted. </w:t>
      </w:r>
    </w:p>
    <w:p w14:paraId="7775ABBB" w14:textId="77777777" w:rsidR="00D2480D" w:rsidRPr="00D2480D" w:rsidRDefault="00D2480D" w:rsidP="00D2480D">
      <w:pPr>
        <w:pBdr>
          <w:bottom w:val="single" w:sz="12" w:space="1" w:color="auto"/>
        </w:pBdr>
        <w:spacing w:after="0" w:line="240" w:lineRule="auto"/>
      </w:pPr>
    </w:p>
    <w:p w14:paraId="4AB56109" w14:textId="77777777" w:rsidR="00881DCE" w:rsidRDefault="00881DCE" w:rsidP="00881DCE">
      <w:pPr>
        <w:spacing w:after="0" w:line="240" w:lineRule="auto"/>
      </w:pPr>
    </w:p>
    <w:p w14:paraId="5CB8FD33" w14:textId="77777777" w:rsidR="00881DCE" w:rsidRPr="00440BD9" w:rsidRDefault="00881DCE" w:rsidP="00881DCE">
      <w:pPr>
        <w:spacing w:after="0" w:line="240" w:lineRule="auto"/>
        <w:rPr>
          <w:b/>
          <w:sz w:val="32"/>
          <w:szCs w:val="32"/>
        </w:rPr>
      </w:pPr>
      <w:r w:rsidRPr="00440BD9">
        <w:rPr>
          <w:b/>
          <w:sz w:val="32"/>
          <w:szCs w:val="32"/>
        </w:rPr>
        <w:t>Formal Assessment Reporting</w:t>
      </w:r>
    </w:p>
    <w:p w14:paraId="3FD671B5" w14:textId="77777777" w:rsidR="00881DCE" w:rsidRDefault="00881DCE" w:rsidP="00881DCE">
      <w:pPr>
        <w:spacing w:after="0" w:line="240" w:lineRule="auto"/>
      </w:pPr>
    </w:p>
    <w:p w14:paraId="20D500FA" w14:textId="29B8781E" w:rsidR="00881DCE" w:rsidRDefault="00B50B87" w:rsidP="00881DCE">
      <w:pPr>
        <w:spacing w:after="0" w:line="240" w:lineRule="auto"/>
      </w:pPr>
      <w:r>
        <w:t>The Transfer workflow must be c</w:t>
      </w:r>
      <w:r w:rsidR="00881DCE">
        <w:t>ompleted</w:t>
      </w:r>
      <w:r w:rsidR="00556CE5">
        <w:t xml:space="preserve"> within the</w:t>
      </w:r>
      <w:r>
        <w:t xml:space="preserve"> candidate’s</w:t>
      </w:r>
      <w:r w:rsidR="00556CE5">
        <w:t xml:space="preserve"> </w:t>
      </w:r>
      <w:hyperlink r:id="rId12" w:history="1">
        <w:r w:rsidR="00556CE5" w:rsidRPr="00556CE5">
          <w:rPr>
            <w:rStyle w:val="Hyperlink"/>
          </w:rPr>
          <w:t>GRAD</w:t>
        </w:r>
      </w:hyperlink>
      <w:r w:rsidR="00556CE5">
        <w:t xml:space="preserve"> record</w:t>
      </w:r>
      <w:r w:rsidR="00B203CC">
        <w:t xml:space="preserve"> (use ISS username and email logon)</w:t>
      </w:r>
      <w:r w:rsidR="00945D67">
        <w:t xml:space="preserve">.  Members of the transfer panel </w:t>
      </w:r>
      <w:r w:rsidR="00556CE5" w:rsidRPr="00602971">
        <w:rPr>
          <w:i/>
        </w:rPr>
        <w:t>were given access to this record when the Transfer Panel and viva date were agreed and</w:t>
      </w:r>
      <w:r>
        <w:rPr>
          <w:i/>
        </w:rPr>
        <w:t xml:space="preserve"> input into GRAD by the Graduate School</w:t>
      </w:r>
      <w:r w:rsidR="00556CE5" w:rsidRPr="00602971">
        <w:rPr>
          <w:i/>
        </w:rPr>
        <w:t xml:space="preserve"> Administrator</w:t>
      </w:r>
      <w:r w:rsidR="00556CE5">
        <w:t>:</w:t>
      </w:r>
    </w:p>
    <w:p w14:paraId="544BCE04" w14:textId="77777777" w:rsidR="00BF0B11" w:rsidRDefault="00BF0B11" w:rsidP="00881DCE">
      <w:pPr>
        <w:spacing w:after="0" w:line="240" w:lineRule="auto"/>
      </w:pPr>
    </w:p>
    <w:p w14:paraId="7B2B64CA" w14:textId="37802CED" w:rsidR="00BF0B11" w:rsidRDefault="00BF0B11" w:rsidP="00B203CC">
      <w:pPr>
        <w:spacing w:after="120" w:line="240" w:lineRule="auto"/>
      </w:pPr>
      <w:r w:rsidRPr="00635629">
        <w:rPr>
          <w:u w:val="single"/>
        </w:rPr>
        <w:t>Before the transfer interview</w:t>
      </w:r>
    </w:p>
    <w:p w14:paraId="7F699D5C" w14:textId="48F81A4F" w:rsidR="00681E4B" w:rsidRDefault="00B50B87" w:rsidP="00DD1788">
      <w:pPr>
        <w:pStyle w:val="ListParagraph"/>
        <w:numPr>
          <w:ilvl w:val="0"/>
          <w:numId w:val="5"/>
        </w:numPr>
        <w:spacing w:after="120" w:line="240" w:lineRule="auto"/>
        <w:ind w:left="426" w:hanging="437"/>
      </w:pPr>
      <w:r>
        <w:rPr>
          <w:i/>
        </w:rPr>
        <w:t>First Formal Progress Review</w:t>
      </w:r>
      <w:r w:rsidR="00881DCE">
        <w:t xml:space="preserve">:  </w:t>
      </w:r>
      <w:r>
        <w:t>FFPR workflow to b</w:t>
      </w:r>
      <w:r w:rsidR="00881DCE">
        <w:t xml:space="preserve">e completed by </w:t>
      </w:r>
      <w:r w:rsidR="00556CE5">
        <w:t>PGR</w:t>
      </w:r>
      <w:r w:rsidR="00881DCE">
        <w:t xml:space="preserve"> and by</w:t>
      </w:r>
      <w:r w:rsidR="00681E4B">
        <w:t xml:space="preserve"> Supervisor</w:t>
      </w:r>
      <w:r w:rsidR="00881DCE">
        <w:t xml:space="preserve">. This should be completed </w:t>
      </w:r>
      <w:r w:rsidR="00881DCE" w:rsidRPr="00681E4B">
        <w:t>6 months after commencement of study</w:t>
      </w:r>
      <w:r w:rsidR="00881DCE">
        <w:t xml:space="preserve"> for full-time researchers and 9 months after commencement of study for part-time study.</w:t>
      </w:r>
      <w:r w:rsidR="00BF0B11">
        <w:t xml:space="preserve"> </w:t>
      </w:r>
      <w:bookmarkStart w:id="0" w:name="_GoBack"/>
      <w:bookmarkEnd w:id="0"/>
    </w:p>
    <w:p w14:paraId="11C6C032" w14:textId="39403498" w:rsidR="00681E4B" w:rsidRDefault="00556CE5" w:rsidP="00635629">
      <w:pPr>
        <w:pStyle w:val="ListParagraph"/>
        <w:numPr>
          <w:ilvl w:val="0"/>
          <w:numId w:val="5"/>
        </w:numPr>
        <w:spacing w:after="0" w:line="240" w:lineRule="auto"/>
        <w:ind w:left="426" w:hanging="436"/>
      </w:pPr>
      <w:r>
        <w:t>PGR to u</w:t>
      </w:r>
      <w:r w:rsidR="00681E4B">
        <w:t xml:space="preserve">pload transfer report into GRAD, and complete </w:t>
      </w:r>
      <w:r w:rsidR="00B50B87">
        <w:t>the</w:t>
      </w:r>
      <w:r w:rsidR="00B328D8">
        <w:t xml:space="preserve"> Transfer</w:t>
      </w:r>
      <w:r w:rsidR="00B50B87">
        <w:t xml:space="preserve"> workflow which</w:t>
      </w:r>
      <w:r w:rsidR="00B328D8">
        <w:t xml:space="preserve"> includes</w:t>
      </w:r>
      <w:r w:rsidR="00B50B87">
        <w:t xml:space="preserve"> </w:t>
      </w:r>
      <w:r w:rsidR="00681E4B">
        <w:t>academic integrity and ethics status (if applicable)</w:t>
      </w:r>
      <w:r>
        <w:t>.</w:t>
      </w:r>
    </w:p>
    <w:p w14:paraId="5EE37C3D" w14:textId="77777777" w:rsidR="00BF0B11" w:rsidRDefault="00BF0B11" w:rsidP="00635629">
      <w:pPr>
        <w:spacing w:after="0" w:line="240" w:lineRule="auto"/>
        <w:ind w:left="360"/>
      </w:pPr>
    </w:p>
    <w:p w14:paraId="66594AF7" w14:textId="40FB140F" w:rsidR="00BF0B11" w:rsidRPr="00635629" w:rsidRDefault="00BF0B11" w:rsidP="00B203CC">
      <w:pPr>
        <w:spacing w:after="120" w:line="240" w:lineRule="auto"/>
        <w:ind w:left="357" w:hanging="357"/>
        <w:rPr>
          <w:u w:val="single"/>
        </w:rPr>
      </w:pPr>
      <w:r w:rsidRPr="00635629">
        <w:rPr>
          <w:u w:val="single"/>
        </w:rPr>
        <w:t>After the transfer intervi</w:t>
      </w:r>
      <w:r w:rsidR="00B203CC">
        <w:rPr>
          <w:u w:val="single"/>
        </w:rPr>
        <w:t>ew</w:t>
      </w:r>
    </w:p>
    <w:p w14:paraId="7722B4A2" w14:textId="3BB220D7" w:rsidR="00556CE5" w:rsidRDefault="00881DCE" w:rsidP="00DD1788">
      <w:pPr>
        <w:pStyle w:val="ListParagraph"/>
        <w:numPr>
          <w:ilvl w:val="0"/>
          <w:numId w:val="11"/>
        </w:numPr>
        <w:spacing w:after="120" w:line="240" w:lineRule="auto"/>
        <w:ind w:left="425" w:hanging="425"/>
      </w:pPr>
      <w:r>
        <w:rPr>
          <w:i/>
        </w:rPr>
        <w:t xml:space="preserve">Joint Report of the Transfer Assessment Panel: </w:t>
      </w:r>
      <w:r w:rsidR="00B328D8">
        <w:t>Workflow</w:t>
      </w:r>
      <w:r>
        <w:t xml:space="preserve"> t</w:t>
      </w:r>
      <w:r w:rsidR="00681E4B">
        <w:t>o be completed within GRAD and submitte</w:t>
      </w:r>
      <w:r w:rsidR="00B328D8">
        <w:t>d and approved by Transfer Chair</w:t>
      </w:r>
      <w:r w:rsidR="00681E4B">
        <w:t>.</w:t>
      </w:r>
    </w:p>
    <w:p w14:paraId="0A9DE2CA" w14:textId="7408BCF3" w:rsidR="00BF0B11" w:rsidRDefault="00BF0B11" w:rsidP="00635629">
      <w:pPr>
        <w:pStyle w:val="ListParagraph"/>
        <w:numPr>
          <w:ilvl w:val="0"/>
          <w:numId w:val="11"/>
        </w:numPr>
        <w:spacing w:after="0" w:line="240" w:lineRule="auto"/>
        <w:ind w:left="426" w:hanging="426"/>
      </w:pPr>
      <w:r>
        <w:t>If required by the transfer panel</w:t>
      </w:r>
      <w:r w:rsidR="00556CE5">
        <w:t>,</w:t>
      </w:r>
      <w:r>
        <w:t xml:space="preserve"> an updated transfer report</w:t>
      </w:r>
      <w:r w:rsidR="00556CE5">
        <w:t xml:space="preserve"> following a decision to defer transfer.</w:t>
      </w:r>
    </w:p>
    <w:sectPr w:rsidR="00BF0B1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1D99B" w14:textId="77777777" w:rsidR="00602971" w:rsidRDefault="00602971" w:rsidP="00602971">
      <w:pPr>
        <w:spacing w:after="0" w:line="240" w:lineRule="auto"/>
      </w:pPr>
      <w:r>
        <w:separator/>
      </w:r>
    </w:p>
  </w:endnote>
  <w:endnote w:type="continuationSeparator" w:id="0">
    <w:p w14:paraId="109BC579" w14:textId="77777777" w:rsidR="00602971" w:rsidRDefault="00602971" w:rsidP="0060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B56D3" w14:textId="16904E56" w:rsidR="00602971" w:rsidRDefault="000B17B0" w:rsidP="00602971">
    <w:pPr>
      <w:pStyle w:val="Footer"/>
      <w:jc w:val="right"/>
    </w:pPr>
    <w:r>
      <w:t>25/03/2019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B956D" w14:textId="77777777" w:rsidR="00602971" w:rsidRDefault="00602971" w:rsidP="00602971">
      <w:pPr>
        <w:spacing w:after="0" w:line="240" w:lineRule="auto"/>
      </w:pPr>
      <w:r>
        <w:separator/>
      </w:r>
    </w:p>
  </w:footnote>
  <w:footnote w:type="continuationSeparator" w:id="0">
    <w:p w14:paraId="49D7F3C7" w14:textId="77777777" w:rsidR="00602971" w:rsidRDefault="00602971" w:rsidP="0060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5839"/>
    <w:multiLevelType w:val="hybridMultilevel"/>
    <w:tmpl w:val="D0B8C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9D6ABF"/>
    <w:multiLevelType w:val="hybridMultilevel"/>
    <w:tmpl w:val="CBC8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22997"/>
    <w:multiLevelType w:val="hybridMultilevel"/>
    <w:tmpl w:val="780CC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141D4"/>
    <w:multiLevelType w:val="hybridMultilevel"/>
    <w:tmpl w:val="05B0A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797FA9"/>
    <w:multiLevelType w:val="hybridMultilevel"/>
    <w:tmpl w:val="7CB240E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D2C8A"/>
    <w:multiLevelType w:val="hybridMultilevel"/>
    <w:tmpl w:val="CD34B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D2686"/>
    <w:multiLevelType w:val="hybridMultilevel"/>
    <w:tmpl w:val="1DEE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83E19"/>
    <w:multiLevelType w:val="hybridMultilevel"/>
    <w:tmpl w:val="A0BE0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AD174E"/>
    <w:multiLevelType w:val="multilevel"/>
    <w:tmpl w:val="1DEE72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44114E"/>
    <w:multiLevelType w:val="hybridMultilevel"/>
    <w:tmpl w:val="C3B4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91BEA"/>
    <w:multiLevelType w:val="hybridMultilevel"/>
    <w:tmpl w:val="2E4E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B462F"/>
    <w:multiLevelType w:val="hybridMultilevel"/>
    <w:tmpl w:val="8CB6B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F36A3"/>
    <w:multiLevelType w:val="hybridMultilevel"/>
    <w:tmpl w:val="B3A4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
  </w:num>
  <w:num w:numId="5">
    <w:abstractNumId w:val="7"/>
  </w:num>
  <w:num w:numId="6">
    <w:abstractNumId w:val="1"/>
  </w:num>
  <w:num w:numId="7">
    <w:abstractNumId w:val="6"/>
  </w:num>
  <w:num w:numId="8">
    <w:abstractNumId w:val="10"/>
  </w:num>
  <w:num w:numId="9">
    <w:abstractNumId w:val="12"/>
  </w:num>
  <w:num w:numId="10">
    <w:abstractNumId w:val="4"/>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CE"/>
    <w:rsid w:val="000B17B0"/>
    <w:rsid w:val="000C7F07"/>
    <w:rsid w:val="00116B99"/>
    <w:rsid w:val="00132146"/>
    <w:rsid w:val="00144EE5"/>
    <w:rsid w:val="001D26F5"/>
    <w:rsid w:val="00283117"/>
    <w:rsid w:val="002D4D77"/>
    <w:rsid w:val="0036779B"/>
    <w:rsid w:val="00403546"/>
    <w:rsid w:val="004B4A94"/>
    <w:rsid w:val="00556CE5"/>
    <w:rsid w:val="00557AAC"/>
    <w:rsid w:val="00602971"/>
    <w:rsid w:val="00635629"/>
    <w:rsid w:val="00681E4B"/>
    <w:rsid w:val="007376EE"/>
    <w:rsid w:val="008801C0"/>
    <w:rsid w:val="00881DCE"/>
    <w:rsid w:val="00934D85"/>
    <w:rsid w:val="00945D67"/>
    <w:rsid w:val="009868AB"/>
    <w:rsid w:val="00A24DB4"/>
    <w:rsid w:val="00A34E7C"/>
    <w:rsid w:val="00A93FE5"/>
    <w:rsid w:val="00B203CC"/>
    <w:rsid w:val="00B328D8"/>
    <w:rsid w:val="00B50B87"/>
    <w:rsid w:val="00BD17D8"/>
    <w:rsid w:val="00BE642E"/>
    <w:rsid w:val="00BF0B11"/>
    <w:rsid w:val="00BF6D95"/>
    <w:rsid w:val="00D10535"/>
    <w:rsid w:val="00D21D62"/>
    <w:rsid w:val="00D2480D"/>
    <w:rsid w:val="00DA445E"/>
    <w:rsid w:val="00DD1788"/>
    <w:rsid w:val="00E74D7C"/>
    <w:rsid w:val="00ED6AEF"/>
    <w:rsid w:val="00EF0875"/>
    <w:rsid w:val="00FB48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D234E2"/>
  <w15:docId w15:val="{7BE0B50F-034D-461A-BA64-B8161FA5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DCE"/>
    <w:pPr>
      <w:jc w:val="both"/>
    </w:pPr>
    <w:rPr>
      <w:rFonts w:eastAsiaTheme="minorEastAsia"/>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1DCE"/>
    <w:rPr>
      <w:color w:val="0000FF"/>
      <w:u w:val="single"/>
    </w:rPr>
  </w:style>
  <w:style w:type="paragraph" w:styleId="ListParagraph">
    <w:name w:val="List Paragraph"/>
    <w:basedOn w:val="Normal"/>
    <w:uiPriority w:val="34"/>
    <w:qFormat/>
    <w:rsid w:val="00881DCE"/>
    <w:pPr>
      <w:ind w:left="720"/>
      <w:contextualSpacing/>
    </w:pPr>
  </w:style>
  <w:style w:type="character" w:styleId="FollowedHyperlink">
    <w:name w:val="FollowedHyperlink"/>
    <w:basedOn w:val="DefaultParagraphFont"/>
    <w:uiPriority w:val="99"/>
    <w:semiHidden/>
    <w:unhideWhenUsed/>
    <w:rsid w:val="00144EE5"/>
    <w:rPr>
      <w:color w:val="800080" w:themeColor="followedHyperlink"/>
      <w:u w:val="single"/>
    </w:rPr>
  </w:style>
  <w:style w:type="paragraph" w:styleId="BalloonText">
    <w:name w:val="Balloon Text"/>
    <w:basedOn w:val="Normal"/>
    <w:link w:val="BalloonTextChar"/>
    <w:uiPriority w:val="99"/>
    <w:semiHidden/>
    <w:unhideWhenUsed/>
    <w:rsid w:val="00934D8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34D85"/>
    <w:rPr>
      <w:rFonts w:ascii="Lucida Grande" w:eastAsiaTheme="minorEastAsia" w:hAnsi="Lucida Grande"/>
      <w:sz w:val="18"/>
      <w:szCs w:val="18"/>
      <w:lang w:val="en-US" w:bidi="en-US"/>
    </w:rPr>
  </w:style>
  <w:style w:type="paragraph" w:customStyle="1" w:styleId="Default">
    <w:name w:val="Default"/>
    <w:rsid w:val="009868AB"/>
    <w:pPr>
      <w:widowControl w:val="0"/>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635629"/>
    <w:pPr>
      <w:spacing w:after="0" w:line="240" w:lineRule="auto"/>
    </w:pPr>
    <w:rPr>
      <w:rFonts w:eastAsiaTheme="minorEastAsia"/>
      <w:sz w:val="20"/>
      <w:szCs w:val="20"/>
      <w:lang w:val="en-US" w:bidi="en-US"/>
    </w:rPr>
  </w:style>
  <w:style w:type="paragraph" w:styleId="Header">
    <w:name w:val="header"/>
    <w:basedOn w:val="Normal"/>
    <w:link w:val="HeaderChar"/>
    <w:uiPriority w:val="99"/>
    <w:unhideWhenUsed/>
    <w:rsid w:val="00602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971"/>
    <w:rPr>
      <w:rFonts w:eastAsiaTheme="minorEastAsia"/>
      <w:sz w:val="20"/>
      <w:szCs w:val="20"/>
      <w:lang w:val="en-US" w:bidi="en-US"/>
    </w:rPr>
  </w:style>
  <w:style w:type="paragraph" w:styleId="Footer">
    <w:name w:val="footer"/>
    <w:basedOn w:val="Normal"/>
    <w:link w:val="FooterChar"/>
    <w:uiPriority w:val="99"/>
    <w:unhideWhenUsed/>
    <w:rsid w:val="00602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971"/>
    <w:rPr>
      <w:rFonts w:eastAsiaTheme="minorEastAsia"/>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leeds.ac.uk/do/leeds-auth/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eeds.ac.uk/info/22172/research_degrees/1030/regulations_codes_policies_and_procedures_for_postgraduate_re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e.leeds.ac.uk/fileadmin/Documents/PGR/Reasonable_Adjustments_PGR.pdf" TargetMode="External"/><Relationship Id="rId4" Type="http://schemas.openxmlformats.org/officeDocument/2006/relationships/settings" Target="settings.xml"/><Relationship Id="rId9" Type="http://schemas.openxmlformats.org/officeDocument/2006/relationships/hyperlink" Target="https://peopledevelopment.leeds.ac.uk/services/postgraduate-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12F6-2414-4995-AF6D-61AFE78E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Lesnianski</dc:creator>
  <cp:lastModifiedBy>Michelle Lesnianski</cp:lastModifiedBy>
  <cp:revision>4</cp:revision>
  <dcterms:created xsi:type="dcterms:W3CDTF">2019-03-22T14:39:00Z</dcterms:created>
  <dcterms:modified xsi:type="dcterms:W3CDTF">2019-03-25T10:24:00Z</dcterms:modified>
</cp:coreProperties>
</file>