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F1766C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CD3585" w:rsidTr="0022483A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CD3585" w:rsidRDefault="002748D5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CD3585" w:rsidRDefault="00CD3585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6C5507" w:rsidRPr="00A9798B" w:rsidRDefault="00E65A32" w:rsidP="00E65A32">
      <w:pPr>
        <w:pStyle w:val="LEUFPTitle"/>
        <w:ind w:left="378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Vacuum filtration</w:t>
      </w:r>
    </w:p>
    <w:p w:rsidR="00A94D53" w:rsidRPr="00C437D0" w:rsidRDefault="00A94D53" w:rsidP="004D45B2">
      <w:pPr>
        <w:pStyle w:val="LEUBodyText"/>
        <w:rPr>
          <w:sz w:val="22"/>
          <w:szCs w:val="22"/>
        </w:rPr>
      </w:pPr>
    </w:p>
    <w:p w:rsidR="00691FE8" w:rsidRDefault="00691FE8" w:rsidP="004D45B2">
      <w:pPr>
        <w:pStyle w:val="LEUBodyText"/>
        <w:rPr>
          <w:color w:val="FF0000"/>
          <w:sz w:val="32"/>
          <w:szCs w:val="32"/>
        </w:rPr>
      </w:pPr>
    </w:p>
    <w:p w:rsidR="00A94D53" w:rsidRPr="00C437D0" w:rsidRDefault="00A94D53" w:rsidP="004D45B2">
      <w:pPr>
        <w:pStyle w:val="LEUBodyText"/>
        <w:rPr>
          <w:sz w:val="22"/>
          <w:szCs w:val="22"/>
        </w:rPr>
        <w:sectPr w:rsidR="00A94D53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10FC7" w:rsidRPr="00C437D0" w:rsidRDefault="00056042" w:rsidP="004D45B2">
      <w:pPr>
        <w:outlineLvl w:val="6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lastRenderedPageBreak/>
        <w:t>RISK ASSESSMENT FORM – SCHOOL OF EARTH AND ENVIRONMENT</w:t>
      </w:r>
    </w:p>
    <w:p w:rsidR="004D45B2" w:rsidRPr="00C437D0" w:rsidRDefault="004D45B2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774"/>
        <w:gridCol w:w="1488"/>
        <w:gridCol w:w="1647"/>
        <w:gridCol w:w="320"/>
        <w:gridCol w:w="2020"/>
        <w:gridCol w:w="1467"/>
        <w:gridCol w:w="121"/>
        <w:gridCol w:w="1526"/>
        <w:gridCol w:w="1647"/>
      </w:tblGrid>
      <w:tr w:rsidR="004D45B2" w:rsidRPr="0022483A" w:rsidTr="00082D5D">
        <w:trPr>
          <w:trHeight w:val="456"/>
          <w:jc w:val="center"/>
        </w:trPr>
        <w:tc>
          <w:tcPr>
            <w:tcW w:w="7640" w:type="dxa"/>
            <w:gridSpan w:val="5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ASSESSMENT DETAILS</w:t>
            </w:r>
          </w:p>
        </w:tc>
        <w:tc>
          <w:tcPr>
            <w:tcW w:w="3608" w:type="dxa"/>
            <w:gridSpan w:val="3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173" w:type="dxa"/>
            <w:gridSpan w:val="2"/>
            <w:shd w:val="clear" w:color="auto" w:fill="E0E0E0"/>
            <w:vAlign w:val="center"/>
          </w:tcPr>
          <w:p w:rsidR="007B463B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22483A" w:rsidTr="00082D5D">
        <w:trPr>
          <w:trHeight w:val="2700"/>
          <w:jc w:val="center"/>
        </w:trPr>
        <w:tc>
          <w:tcPr>
            <w:tcW w:w="7640" w:type="dxa"/>
            <w:gridSpan w:val="5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22483A" w:rsidTr="0022483A">
              <w:tc>
                <w:tcPr>
                  <w:tcW w:w="2454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SEE</w:t>
                  </w:r>
                </w:p>
              </w:tc>
            </w:tr>
            <w:tr w:rsidR="00793409" w:rsidRPr="0022483A" w:rsidTr="0022483A">
              <w:tc>
                <w:tcPr>
                  <w:tcW w:w="2454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E65A32" w:rsidP="00E65A3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Vacuum filtration</w:t>
                  </w: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N/A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F1766C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8</w:t>
                  </w:r>
                  <w:r w:rsidR="00C22AE8"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7/2016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F1766C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Peacocj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2483A" w:rsidTr="0022483A">
              <w:trPr>
                <w:trHeight w:val="456"/>
              </w:trPr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A9798B" w:rsidRDefault="004E6504" w:rsidP="004E650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Cohen </w:t>
                  </w:r>
                  <w:r w:rsidRPr="0044263A"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>West wing Level 9</w:t>
                  </w:r>
                  <w:r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 xml:space="preserve"> and level 8</w:t>
                  </w:r>
                </w:p>
              </w:tc>
            </w:tr>
            <w:tr w:rsidR="00793409" w:rsidRPr="0022483A" w:rsidTr="0022483A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Default="00E65A32" w:rsidP="00E65A32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Vacuum filtration using one and two piece </w:t>
                  </w:r>
                  <w:r w:rsidRPr="00E65A32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Büchner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 funnels</w:t>
                  </w:r>
                </w:p>
                <w:p w:rsidR="00082D5D" w:rsidRPr="00892D2A" w:rsidRDefault="00082D5D" w:rsidP="00E65A32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c>
            </w:tr>
          </w:tbl>
          <w:p w:rsidR="00793409" w:rsidRPr="0022483A" w:rsidRDefault="00F1766C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7.85pt;margin-top:10.6pt;width:8.5pt;height:8.5pt;z-index:251655680;mso-position-horizontal-relative:text;mso-position-vertical-relative:text" filled="f"/>
              </w:pic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22483A" w:rsidRDefault="00F1766C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3.75pt;margin-top:1.2pt;width:8.5pt;height:8.5pt;z-index:251656704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Manual Handling         REF</w:t>
            </w:r>
          </w:p>
          <w:p w:rsidR="00793409" w:rsidRPr="0022483A" w:rsidRDefault="00F1766C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.75pt;margin-top:-.05pt;width:8.5pt;height:8.5pt;z-index:251657728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     </w:t>
            </w:r>
          </w:p>
          <w:p w:rsidR="00793409" w:rsidRPr="0022483A" w:rsidRDefault="00F1766C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22483A" w:rsidRDefault="00793409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22483A" w:rsidRDefault="00F1766C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608" w:type="dxa"/>
            <w:gridSpan w:val="3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2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73" w:type="dxa"/>
            <w:gridSpan w:val="2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"/>
              <w:gridCol w:w="358"/>
              <w:gridCol w:w="339"/>
              <w:gridCol w:w="461"/>
              <w:gridCol w:w="461"/>
              <w:gridCol w:w="461"/>
              <w:gridCol w:w="461"/>
            </w:tblGrid>
            <w:tr w:rsidR="00793409" w:rsidRPr="0022483A" w:rsidTr="0022483A">
              <w:tc>
                <w:tcPr>
                  <w:tcW w:w="340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22483A" w:rsidRDefault="00793409" w:rsidP="0022483A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22483A" w:rsidRDefault="00485453" w:rsidP="0022483A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22483A" w:rsidTr="00082D5D">
        <w:trPr>
          <w:trHeight w:val="587"/>
          <w:jc w:val="center"/>
        </w:trPr>
        <w:tc>
          <w:tcPr>
            <w:tcW w:w="7640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608" w:type="dxa"/>
            <w:gridSpan w:val="3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73" w:type="dxa"/>
            <w:gridSpan w:val="2"/>
            <w:shd w:val="clear" w:color="auto" w:fill="E0E0E0"/>
            <w:vAlign w:val="center"/>
          </w:tcPr>
          <w:p w:rsidR="00793409" w:rsidRPr="0022483A" w:rsidRDefault="00793409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22483A" w:rsidTr="00082D5D">
        <w:trPr>
          <w:trHeight w:val="1642"/>
          <w:jc w:val="center"/>
        </w:trPr>
        <w:tc>
          <w:tcPr>
            <w:tcW w:w="7640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608" w:type="dxa"/>
            <w:gridSpan w:val="3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173" w:type="dxa"/>
            <w:gridSpan w:val="2"/>
          </w:tcPr>
          <w:p w:rsidR="00793409" w:rsidRPr="00C437D0" w:rsidRDefault="0079340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22483A" w:rsidTr="0022483A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147A5C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22483A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22483A" w:rsidTr="00082D5D">
        <w:trPr>
          <w:jc w:val="center"/>
        </w:trPr>
        <w:tc>
          <w:tcPr>
            <w:tcW w:w="7640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22483A" w:rsidTr="0022483A">
              <w:tc>
                <w:tcPr>
                  <w:tcW w:w="6677" w:type="dxa"/>
                  <w:gridSpan w:val="2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781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22483A" w:rsidTr="00082D5D">
        <w:trPr>
          <w:jc w:val="center"/>
        </w:trPr>
        <w:tc>
          <w:tcPr>
            <w:tcW w:w="2411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</w:t>
            </w:r>
            <w:r w:rsidR="00257AF4">
              <w:rPr>
                <w:rFonts w:ascii="Arial" w:hAnsi="Arial" w:cs="Arial"/>
                <w:color w:val="000000"/>
                <w:sz w:val="16"/>
                <w:szCs w:val="16"/>
              </w:rPr>
              <w:t xml:space="preserve"> dust, 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violence etc.</w:t>
            </w:r>
          </w:p>
        </w:tc>
        <w:tc>
          <w:tcPr>
            <w:tcW w:w="1774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488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6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647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64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4E6504" w:rsidRPr="00C22AE8" w:rsidTr="00082D5D">
        <w:trPr>
          <w:jc w:val="center"/>
        </w:trPr>
        <w:tc>
          <w:tcPr>
            <w:tcW w:w="2411" w:type="dxa"/>
            <w:vAlign w:val="center"/>
          </w:tcPr>
          <w:p w:rsidR="004E6504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Glassware under pressure</w:t>
            </w:r>
          </w:p>
        </w:tc>
        <w:tc>
          <w:tcPr>
            <w:tcW w:w="1774" w:type="dxa"/>
            <w:vAlign w:val="center"/>
          </w:tcPr>
          <w:p w:rsidR="004E6504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</w:t>
            </w:r>
            <w:r w:rsidR="004E6504" w:rsidRPr="00F21AB0">
              <w:rPr>
                <w:rFonts w:ascii="Arial" w:hAnsi="Arial" w:cs="Arial"/>
                <w:color w:val="FF0000"/>
                <w:szCs w:val="22"/>
              </w:rPr>
              <w:t>ser</w:t>
            </w:r>
            <w:r w:rsidR="004E6504">
              <w:rPr>
                <w:rFonts w:ascii="Arial" w:hAnsi="Arial" w:cs="Arial"/>
                <w:color w:val="FF0000"/>
                <w:szCs w:val="22"/>
              </w:rPr>
              <w:t>s</w:t>
            </w:r>
            <w:r w:rsidR="004E6504" w:rsidRPr="00F21AB0">
              <w:rPr>
                <w:rFonts w:ascii="Arial" w:hAnsi="Arial" w:cs="Arial"/>
                <w:color w:val="FF0000"/>
                <w:szCs w:val="22"/>
              </w:rPr>
              <w:t xml:space="preserve"> and others working in laboratory</w:t>
            </w:r>
          </w:p>
        </w:tc>
        <w:tc>
          <w:tcPr>
            <w:tcW w:w="1488" w:type="dxa"/>
            <w:vAlign w:val="center"/>
          </w:tcPr>
          <w:p w:rsidR="004E6504" w:rsidRDefault="004E6504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Possible </w:t>
            </w:r>
            <w:r w:rsidR="00082D5D">
              <w:rPr>
                <w:rFonts w:ascii="Arial" w:hAnsi="Arial" w:cs="Arial"/>
                <w:color w:val="FF0000"/>
                <w:szCs w:val="22"/>
              </w:rPr>
              <w:t>im</w:t>
            </w:r>
            <w:r>
              <w:rPr>
                <w:rFonts w:ascii="Arial" w:hAnsi="Arial" w:cs="Arial"/>
                <w:color w:val="FF0000"/>
                <w:szCs w:val="22"/>
              </w:rPr>
              <w:t>plosion</w:t>
            </w:r>
          </w:p>
        </w:tc>
        <w:tc>
          <w:tcPr>
            <w:tcW w:w="1647" w:type="dxa"/>
            <w:vAlign w:val="center"/>
          </w:tcPr>
          <w:p w:rsidR="004E6504" w:rsidRDefault="004E6504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2x</w:t>
            </w:r>
            <w:r w:rsidR="00082D5D">
              <w:rPr>
                <w:rFonts w:ascii="Arial" w:hAnsi="Arial" w:cs="Arial"/>
                <w:color w:val="FF0000"/>
                <w:szCs w:val="22"/>
              </w:rPr>
              <w:t>3</w:t>
            </w:r>
            <w:r>
              <w:rPr>
                <w:rFonts w:ascii="Arial" w:hAnsi="Arial" w:cs="Arial"/>
                <w:color w:val="FF0000"/>
                <w:szCs w:val="22"/>
              </w:rPr>
              <w:t>=</w:t>
            </w:r>
            <w:r w:rsidR="00082D5D">
              <w:rPr>
                <w:rFonts w:ascii="Arial" w:hAnsi="Arial" w:cs="Arial"/>
                <w:color w:val="FF0000"/>
                <w:szCs w:val="22"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:rsidR="004E6504" w:rsidRDefault="004E6504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SOP to be followed. </w:t>
            </w:r>
            <w:r w:rsidR="00082D5D">
              <w:rPr>
                <w:rFonts w:ascii="Arial" w:hAnsi="Arial" w:cs="Arial"/>
                <w:color w:val="FF0000"/>
                <w:szCs w:val="22"/>
              </w:rPr>
              <w:t>Use of standard PPE. Not leaving equipment alone.</w:t>
            </w:r>
          </w:p>
        </w:tc>
        <w:tc>
          <w:tcPr>
            <w:tcW w:w="1467" w:type="dxa"/>
            <w:vAlign w:val="center"/>
          </w:tcPr>
          <w:p w:rsidR="004E6504" w:rsidRDefault="004E6504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1x</w:t>
            </w:r>
            <w:r w:rsidR="00082D5D">
              <w:rPr>
                <w:rFonts w:ascii="Arial" w:hAnsi="Arial" w:cs="Arial"/>
                <w:color w:val="FF0000"/>
                <w:szCs w:val="22"/>
              </w:rPr>
              <w:t>3</w:t>
            </w:r>
            <w:r>
              <w:rPr>
                <w:rFonts w:ascii="Arial" w:hAnsi="Arial" w:cs="Arial"/>
                <w:color w:val="FF0000"/>
                <w:szCs w:val="22"/>
              </w:rPr>
              <w:t>=</w:t>
            </w:r>
            <w:r w:rsidR="00082D5D">
              <w:rPr>
                <w:rFonts w:ascii="Arial" w:hAnsi="Arial" w:cs="Arial"/>
                <w:color w:val="FF0000"/>
                <w:szCs w:val="22"/>
              </w:rPr>
              <w:t>3</w:t>
            </w:r>
          </w:p>
        </w:tc>
        <w:tc>
          <w:tcPr>
            <w:tcW w:w="1647" w:type="dxa"/>
            <w:gridSpan w:val="2"/>
            <w:vAlign w:val="center"/>
          </w:tcPr>
          <w:p w:rsidR="004E6504" w:rsidRPr="00F21AB0" w:rsidRDefault="004E6504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4E6504" w:rsidRPr="00F21AB0" w:rsidRDefault="004E6504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082D5D" w:rsidRPr="00C22AE8" w:rsidTr="00082D5D">
        <w:trPr>
          <w:jc w:val="center"/>
        </w:trPr>
        <w:tc>
          <w:tcPr>
            <w:tcW w:w="2411" w:type="dxa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Handling Glassware.</w:t>
            </w:r>
          </w:p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Anyone working in the lab</w:t>
            </w:r>
          </w:p>
        </w:tc>
        <w:tc>
          <w:tcPr>
            <w:tcW w:w="1488" w:type="dxa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Cuts from broken glassware.</w:t>
            </w:r>
          </w:p>
        </w:tc>
        <w:tc>
          <w:tcPr>
            <w:tcW w:w="1647" w:type="dxa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3(l)x2(s)=6</w:t>
            </w:r>
          </w:p>
        </w:tc>
        <w:tc>
          <w:tcPr>
            <w:tcW w:w="2340" w:type="dxa"/>
            <w:gridSpan w:val="2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Wear suitable protective clothing: Lab Coat, Gloves, and Protective glasses.</w:t>
            </w:r>
          </w:p>
        </w:tc>
        <w:tc>
          <w:tcPr>
            <w:tcW w:w="1467" w:type="dxa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647" w:type="dxa"/>
            <w:gridSpan w:val="2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647" w:type="dxa"/>
            <w:vAlign w:val="center"/>
          </w:tcPr>
          <w:p w:rsidR="00082D5D" w:rsidRPr="008A68F3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082D5D" w:rsidRPr="00C22AE8" w:rsidTr="00082D5D">
        <w:trPr>
          <w:jc w:val="center"/>
        </w:trPr>
        <w:tc>
          <w:tcPr>
            <w:tcW w:w="2411" w:type="dxa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101073">
              <w:rPr>
                <w:rFonts w:ascii="Arial" w:hAnsi="Arial" w:cs="Arial"/>
                <w:color w:val="FF0000"/>
                <w:szCs w:val="22"/>
              </w:rPr>
              <w:t>Electric Shock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from vacuum pump</w:t>
            </w:r>
          </w:p>
        </w:tc>
        <w:tc>
          <w:tcPr>
            <w:tcW w:w="1774" w:type="dxa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488" w:type="dxa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Electrocution or electric burns</w:t>
            </w:r>
          </w:p>
        </w:tc>
        <w:tc>
          <w:tcPr>
            <w:tcW w:w="1647" w:type="dxa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2340" w:type="dxa"/>
            <w:gridSpan w:val="2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Regular PAT testing of all electrical equipment</w:t>
            </w:r>
          </w:p>
        </w:tc>
        <w:tc>
          <w:tcPr>
            <w:tcW w:w="1467" w:type="dxa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647" w:type="dxa"/>
            <w:gridSpan w:val="2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082D5D" w:rsidRPr="00D468E8" w:rsidRDefault="00082D5D" w:rsidP="00301A5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301A54" w:rsidRPr="00C22AE8" w:rsidTr="00082D5D">
        <w:trPr>
          <w:jc w:val="center"/>
        </w:trPr>
        <w:tc>
          <w:tcPr>
            <w:tcW w:w="2411" w:type="dxa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Spills on floor</w:t>
            </w:r>
          </w:p>
        </w:tc>
        <w:tc>
          <w:tcPr>
            <w:tcW w:w="1774" w:type="dxa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User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other lab users</w:t>
            </w:r>
          </w:p>
        </w:tc>
        <w:tc>
          <w:tcPr>
            <w:tcW w:w="1488" w:type="dxa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Slip and fall over on liquid</w:t>
            </w:r>
          </w:p>
        </w:tc>
        <w:tc>
          <w:tcPr>
            <w:tcW w:w="1647" w:type="dxa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2340" w:type="dxa"/>
            <w:gridSpan w:val="2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Follow SOP, be careful when decanting liquids and mentioned in training</w:t>
            </w:r>
          </w:p>
        </w:tc>
        <w:tc>
          <w:tcPr>
            <w:tcW w:w="1467" w:type="dxa"/>
            <w:vAlign w:val="center"/>
          </w:tcPr>
          <w:p w:rsidR="00301A54" w:rsidRPr="00D468E8" w:rsidRDefault="00301A54" w:rsidP="00301A5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1(l)x3(s)=3</w:t>
            </w:r>
          </w:p>
        </w:tc>
        <w:tc>
          <w:tcPr>
            <w:tcW w:w="1647" w:type="dxa"/>
            <w:gridSpan w:val="2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301A54" w:rsidRPr="00D468E8" w:rsidRDefault="00301A54" w:rsidP="001A63E7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021A23" w:rsidRPr="00C22AE8" w:rsidTr="00082D5D">
        <w:trPr>
          <w:jc w:val="center"/>
        </w:trPr>
        <w:tc>
          <w:tcPr>
            <w:tcW w:w="2411" w:type="dxa"/>
            <w:vAlign w:val="center"/>
          </w:tcPr>
          <w:p w:rsidR="00021A23" w:rsidRPr="00F21AB0" w:rsidRDefault="00021A23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Handling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samples</w:t>
            </w:r>
          </w:p>
        </w:tc>
        <w:tc>
          <w:tcPr>
            <w:tcW w:w="12010" w:type="dxa"/>
            <w:gridSpan w:val="9"/>
            <w:vAlign w:val="center"/>
          </w:tcPr>
          <w:p w:rsidR="00021A23" w:rsidRPr="00F21AB0" w:rsidRDefault="00021A23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Before using the</w:t>
            </w:r>
            <w:r w:rsidR="00414F7A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4E6504">
              <w:rPr>
                <w:rFonts w:ascii="Arial" w:hAnsi="Arial" w:cs="Arial"/>
                <w:color w:val="FF0000"/>
                <w:szCs w:val="22"/>
              </w:rPr>
              <w:t>autoclave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must carry out risk and COSHH assessments to identify issues with user’s samples. An</w:t>
            </w:r>
            <w:r w:rsidR="00F26350">
              <w:rPr>
                <w:rFonts w:ascii="Arial" w:hAnsi="Arial" w:cs="Arial"/>
                <w:color w:val="FF0000"/>
                <w:szCs w:val="22"/>
              </w:rPr>
              <w:t>y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lab users at risk from the samples must be informed; this includes personnel training user.</w:t>
            </w:r>
          </w:p>
        </w:tc>
      </w:tr>
    </w:tbl>
    <w:p w:rsidR="00D41EDD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820757" w:rsidRPr="0022483A" w:rsidTr="0022483A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1317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22483A" w:rsidTr="0022483A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NO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22483A" w:rsidTr="0022483A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Date: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22483A" w:rsidTr="0022483A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22483A" w:rsidTr="0022483A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F1766C">
      <w:pPr>
        <w:outlineLvl w:val="6"/>
      </w:pPr>
      <w:bookmarkStart w:id="0" w:name="_GoBack"/>
      <w:bookmarkEnd w:id="0"/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EB" w:rsidRDefault="00E769EB">
      <w:r>
        <w:separator/>
      </w:r>
    </w:p>
  </w:endnote>
  <w:endnote w:type="continuationSeparator" w:id="0">
    <w:p w:rsidR="00E769EB" w:rsidRDefault="00E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Pr="00DE4E61" w:rsidRDefault="00F1766C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inset="0,0,0,0">
            <w:txbxContent>
              <w:p w:rsidR="00CD3585" w:rsidRDefault="00A9798B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F1766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306975" w:rsidRPr="0022483A" w:rsidTr="0022483A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7B6617" w:rsidRPr="0022483A" w:rsidRDefault="00C437D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306975" w:rsidRDefault="0030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EB" w:rsidRDefault="00E769EB">
      <w:r>
        <w:separator/>
      </w:r>
    </w:p>
  </w:footnote>
  <w:footnote w:type="continuationSeparator" w:id="0">
    <w:p w:rsidR="00E769EB" w:rsidRDefault="00E7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F1766C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CD3585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CD3585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CD3585" w:rsidRDefault="00CD3585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F1766C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fit-shape-to-text:t" inset="0,0,0,0">
              <w:txbxContent>
                <w:p w:rsidR="00CD3585" w:rsidRDefault="000C346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02BA53" wp14:editId="1BB2ECA1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CD3585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One"/>
          </w:pPr>
          <w:r>
            <w:t xml:space="preserve">  </w:t>
          </w:r>
          <w:r w:rsidR="007B463B">
            <w:t>Health and s</w:t>
          </w:r>
          <w:r w:rsidR="00CD3585">
            <w:t>afety</w:t>
          </w:r>
          <w:r w:rsidR="007B463B">
            <w:t xml:space="preserve"> s</w:t>
          </w:r>
          <w:r w:rsidR="00CD3585">
            <w:t>ervices</w:t>
          </w:r>
        </w:p>
      </w:tc>
    </w:tr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Two"/>
          </w:pPr>
          <w:r>
            <w:t xml:space="preserve">  </w:t>
          </w:r>
          <w:r w:rsidR="007B463B">
            <w:t>General risk assessment</w:t>
          </w:r>
        </w:p>
        <w:p w:rsidR="00C437D0" w:rsidRDefault="00C437D0" w:rsidP="00C437D0">
          <w:pPr>
            <w:pStyle w:val="LEUHeaderTwo"/>
          </w:pPr>
        </w:p>
        <w:p w:rsidR="00C437D0" w:rsidRDefault="00C437D0" w:rsidP="00C437D0">
          <w:pPr>
            <w:pStyle w:val="LEUHeaderTwo"/>
          </w:pPr>
        </w:p>
      </w:tc>
    </w:tr>
  </w:tbl>
  <w:p w:rsidR="00CD3585" w:rsidRDefault="00CD3585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60E79"/>
    <w:multiLevelType w:val="hybridMultilevel"/>
    <w:tmpl w:val="21FE9910"/>
    <w:lvl w:ilvl="0" w:tplc="725A6CD2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2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2"/>
  </w:num>
  <w:num w:numId="10">
    <w:abstractNumId w:val="7"/>
  </w:num>
  <w:num w:numId="11">
    <w:abstractNumId w:val="26"/>
  </w:num>
  <w:num w:numId="12">
    <w:abstractNumId w:val="4"/>
  </w:num>
  <w:num w:numId="13">
    <w:abstractNumId w:val="21"/>
  </w:num>
  <w:num w:numId="14">
    <w:abstractNumId w:val="13"/>
  </w:num>
  <w:num w:numId="15">
    <w:abstractNumId w:val="3"/>
  </w:num>
  <w:num w:numId="16">
    <w:abstractNumId w:val="11"/>
  </w:num>
  <w:num w:numId="17">
    <w:abstractNumId w:val="17"/>
  </w:num>
  <w:num w:numId="18">
    <w:abstractNumId w:val="6"/>
  </w:num>
  <w:num w:numId="19">
    <w:abstractNumId w:val="25"/>
  </w:num>
  <w:num w:numId="20">
    <w:abstractNumId w:val="10"/>
  </w:num>
  <w:num w:numId="21">
    <w:abstractNumId w:val="14"/>
  </w:num>
  <w:num w:numId="22">
    <w:abstractNumId w:val="19"/>
  </w:num>
  <w:num w:numId="23">
    <w:abstractNumId w:val="18"/>
  </w:num>
  <w:num w:numId="24">
    <w:abstractNumId w:val="9"/>
  </w:num>
  <w:num w:numId="25">
    <w:abstractNumId w:val="24"/>
  </w:num>
  <w:num w:numId="26">
    <w:abstractNumId w:val="8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1A23"/>
    <w:rsid w:val="00024389"/>
    <w:rsid w:val="00025F2D"/>
    <w:rsid w:val="00053084"/>
    <w:rsid w:val="00056042"/>
    <w:rsid w:val="00062121"/>
    <w:rsid w:val="000809B0"/>
    <w:rsid w:val="00082D5D"/>
    <w:rsid w:val="000A3E9B"/>
    <w:rsid w:val="000B4E68"/>
    <w:rsid w:val="000B4F29"/>
    <w:rsid w:val="000C346B"/>
    <w:rsid w:val="00105947"/>
    <w:rsid w:val="00124B28"/>
    <w:rsid w:val="001250B6"/>
    <w:rsid w:val="001304E7"/>
    <w:rsid w:val="00133279"/>
    <w:rsid w:val="00147A5C"/>
    <w:rsid w:val="00150D31"/>
    <w:rsid w:val="001737F9"/>
    <w:rsid w:val="00180784"/>
    <w:rsid w:val="0018335F"/>
    <w:rsid w:val="00186930"/>
    <w:rsid w:val="001A0015"/>
    <w:rsid w:val="001A658C"/>
    <w:rsid w:val="001B6B89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2483A"/>
    <w:rsid w:val="002515B8"/>
    <w:rsid w:val="00257160"/>
    <w:rsid w:val="00257AF4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F01"/>
    <w:rsid w:val="002F5939"/>
    <w:rsid w:val="00301A54"/>
    <w:rsid w:val="00306975"/>
    <w:rsid w:val="00310FC7"/>
    <w:rsid w:val="00313DA6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14F7A"/>
    <w:rsid w:val="00425B5B"/>
    <w:rsid w:val="00434924"/>
    <w:rsid w:val="0044280E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B408E"/>
    <w:rsid w:val="004D0A38"/>
    <w:rsid w:val="004D178E"/>
    <w:rsid w:val="004D2622"/>
    <w:rsid w:val="004D45B2"/>
    <w:rsid w:val="004D77BA"/>
    <w:rsid w:val="004E6504"/>
    <w:rsid w:val="004E7D15"/>
    <w:rsid w:val="004F067B"/>
    <w:rsid w:val="00502CF8"/>
    <w:rsid w:val="005156E0"/>
    <w:rsid w:val="00543F43"/>
    <w:rsid w:val="0054759B"/>
    <w:rsid w:val="00554FD4"/>
    <w:rsid w:val="005611A6"/>
    <w:rsid w:val="0057288A"/>
    <w:rsid w:val="005779F7"/>
    <w:rsid w:val="005829C9"/>
    <w:rsid w:val="00596064"/>
    <w:rsid w:val="005B63DB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5507"/>
    <w:rsid w:val="006D329C"/>
    <w:rsid w:val="006D45A4"/>
    <w:rsid w:val="006E0E98"/>
    <w:rsid w:val="006F0DFF"/>
    <w:rsid w:val="00701908"/>
    <w:rsid w:val="007156A7"/>
    <w:rsid w:val="0073132E"/>
    <w:rsid w:val="007320DC"/>
    <w:rsid w:val="0075089C"/>
    <w:rsid w:val="007632E0"/>
    <w:rsid w:val="007676F7"/>
    <w:rsid w:val="007710CB"/>
    <w:rsid w:val="007808F3"/>
    <w:rsid w:val="00780D1F"/>
    <w:rsid w:val="00790DDA"/>
    <w:rsid w:val="00793409"/>
    <w:rsid w:val="00794ED4"/>
    <w:rsid w:val="007A160B"/>
    <w:rsid w:val="007B463B"/>
    <w:rsid w:val="007B6617"/>
    <w:rsid w:val="007C0429"/>
    <w:rsid w:val="007C21A6"/>
    <w:rsid w:val="007D4A96"/>
    <w:rsid w:val="007E2689"/>
    <w:rsid w:val="007F31CC"/>
    <w:rsid w:val="007F4D35"/>
    <w:rsid w:val="00802399"/>
    <w:rsid w:val="00805B71"/>
    <w:rsid w:val="00816950"/>
    <w:rsid w:val="00820757"/>
    <w:rsid w:val="00832CD7"/>
    <w:rsid w:val="008439B6"/>
    <w:rsid w:val="008634E2"/>
    <w:rsid w:val="00874020"/>
    <w:rsid w:val="008761BD"/>
    <w:rsid w:val="00882D01"/>
    <w:rsid w:val="00892D2A"/>
    <w:rsid w:val="008A10E9"/>
    <w:rsid w:val="008B508B"/>
    <w:rsid w:val="008F5F58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7216"/>
    <w:rsid w:val="009D031B"/>
    <w:rsid w:val="009E3693"/>
    <w:rsid w:val="009E489F"/>
    <w:rsid w:val="009F1163"/>
    <w:rsid w:val="009F6685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94D53"/>
    <w:rsid w:val="00A9798B"/>
    <w:rsid w:val="00AA4057"/>
    <w:rsid w:val="00AD1C2A"/>
    <w:rsid w:val="00AD6A1A"/>
    <w:rsid w:val="00AE4162"/>
    <w:rsid w:val="00AE42D9"/>
    <w:rsid w:val="00AF43E3"/>
    <w:rsid w:val="00B16E7E"/>
    <w:rsid w:val="00B17846"/>
    <w:rsid w:val="00B53A20"/>
    <w:rsid w:val="00B90F1B"/>
    <w:rsid w:val="00BA52C5"/>
    <w:rsid w:val="00BA7DB4"/>
    <w:rsid w:val="00BB14F8"/>
    <w:rsid w:val="00BE04D6"/>
    <w:rsid w:val="00BE5210"/>
    <w:rsid w:val="00C117C7"/>
    <w:rsid w:val="00C21688"/>
    <w:rsid w:val="00C22AE8"/>
    <w:rsid w:val="00C259D3"/>
    <w:rsid w:val="00C31D55"/>
    <w:rsid w:val="00C34111"/>
    <w:rsid w:val="00C3585B"/>
    <w:rsid w:val="00C36BC5"/>
    <w:rsid w:val="00C437D0"/>
    <w:rsid w:val="00C462E7"/>
    <w:rsid w:val="00C46E70"/>
    <w:rsid w:val="00C529F9"/>
    <w:rsid w:val="00C660AF"/>
    <w:rsid w:val="00C74428"/>
    <w:rsid w:val="00C902A9"/>
    <w:rsid w:val="00C91237"/>
    <w:rsid w:val="00C91E82"/>
    <w:rsid w:val="00CA5F03"/>
    <w:rsid w:val="00CC45B3"/>
    <w:rsid w:val="00CD3585"/>
    <w:rsid w:val="00CE0F17"/>
    <w:rsid w:val="00CF7E4B"/>
    <w:rsid w:val="00D109B8"/>
    <w:rsid w:val="00D171C5"/>
    <w:rsid w:val="00D218DF"/>
    <w:rsid w:val="00D259FF"/>
    <w:rsid w:val="00D3074B"/>
    <w:rsid w:val="00D3766B"/>
    <w:rsid w:val="00D376D3"/>
    <w:rsid w:val="00D3789E"/>
    <w:rsid w:val="00D41EDD"/>
    <w:rsid w:val="00D62725"/>
    <w:rsid w:val="00D71B30"/>
    <w:rsid w:val="00D779F4"/>
    <w:rsid w:val="00DA4171"/>
    <w:rsid w:val="00DB715D"/>
    <w:rsid w:val="00DB71B6"/>
    <w:rsid w:val="00DC0D9E"/>
    <w:rsid w:val="00DD1751"/>
    <w:rsid w:val="00DD3518"/>
    <w:rsid w:val="00DE4E61"/>
    <w:rsid w:val="00DE4FAF"/>
    <w:rsid w:val="00DF2484"/>
    <w:rsid w:val="00E14120"/>
    <w:rsid w:val="00E14795"/>
    <w:rsid w:val="00E212B9"/>
    <w:rsid w:val="00E300F7"/>
    <w:rsid w:val="00E31EDC"/>
    <w:rsid w:val="00E42B80"/>
    <w:rsid w:val="00E65A32"/>
    <w:rsid w:val="00E735D4"/>
    <w:rsid w:val="00E74417"/>
    <w:rsid w:val="00E7598D"/>
    <w:rsid w:val="00E769EB"/>
    <w:rsid w:val="00E800D5"/>
    <w:rsid w:val="00E85D5D"/>
    <w:rsid w:val="00EA0B4B"/>
    <w:rsid w:val="00EA2445"/>
    <w:rsid w:val="00EA38E2"/>
    <w:rsid w:val="00EC07A4"/>
    <w:rsid w:val="00EC1CEA"/>
    <w:rsid w:val="00EC2A06"/>
    <w:rsid w:val="00EC30BD"/>
    <w:rsid w:val="00ED6995"/>
    <w:rsid w:val="00EE1DC7"/>
    <w:rsid w:val="00EE6CED"/>
    <w:rsid w:val="00EE7FC0"/>
    <w:rsid w:val="00EF35C7"/>
    <w:rsid w:val="00F1766C"/>
    <w:rsid w:val="00F21AB0"/>
    <w:rsid w:val="00F26350"/>
    <w:rsid w:val="00F306BE"/>
    <w:rsid w:val="00F312A1"/>
    <w:rsid w:val="00F54252"/>
    <w:rsid w:val="00F55914"/>
    <w:rsid w:val="00F634BB"/>
    <w:rsid w:val="00F75EB1"/>
    <w:rsid w:val="00F76DD2"/>
    <w:rsid w:val="00F77219"/>
    <w:rsid w:val="00F81B7F"/>
    <w:rsid w:val="00F85BAE"/>
    <w:rsid w:val="00F909CC"/>
    <w:rsid w:val="00F9395F"/>
    <w:rsid w:val="00FB3CDC"/>
    <w:rsid w:val="00FD0407"/>
    <w:rsid w:val="00FD69E6"/>
    <w:rsid w:val="00FD7D63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308639B4-26A2-4691-BE62-573240C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C2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A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25</cp:revision>
  <cp:lastPrinted>2014-07-04T10:31:00Z</cp:lastPrinted>
  <dcterms:created xsi:type="dcterms:W3CDTF">2010-11-24T14:58:00Z</dcterms:created>
  <dcterms:modified xsi:type="dcterms:W3CDTF">2016-07-08T08:34:00Z</dcterms:modified>
</cp:coreProperties>
</file>